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360" w:after="80"/>
        <w:jc w:val="center"/>
      </w:pPr>
      <w:r>
        <w:rPr>
          <w:b/>
          <w:color w:val="555555"/>
          <w:sz w:val="22"/>
        </w:rPr>
        <w:t>OB-ER-04</w:t>
      </w:r>
    </w:p>
    <w:p>
      <w:pPr>
        <w:spacing w:after="80"/>
        <w:jc w:val="center"/>
      </w:pPr>
      <w:r>
        <w:rPr>
          <w:b/>
          <w:color w:val="122B38"/>
          <w:sz w:val="36"/>
        </w:rPr>
        <w:t>STAFF SCORING SHEET</w:t>
      </w:r>
    </w:p>
    <w:p>
      <w:pPr>
        <w:spacing w:after="80"/>
        <w:jc w:val="center"/>
      </w:pPr>
      <w:r>
        <w:rPr>
          <w:b/>
          <w:sz w:val="22"/>
        </w:rPr>
        <w:t>Visoka škola akademskih studija „Melius Academy“ – Beograd</w:t>
      </w:r>
    </w:p>
    <w:p>
      <w:pPr>
        <w:spacing w:after="80"/>
        <w:jc w:val="center"/>
      </w:pPr>
      <w:r>
        <w:rPr>
          <w:i/>
          <w:sz w:val="21"/>
        </w:rPr>
        <w:t>Melius Academy, Belgrade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Purpose of the form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This form is used by the committee to document scoring of staff applicants. Criteria and weighting are defined exclusively in the specific Call.</w:t>
            </w:r>
          </w:p>
        </w:tc>
      </w:tr>
    </w:tbl>
    <w:p>
      <w:pPr>
        <w:spacing w:after="80"/>
      </w:pPr>
    </w:p>
    <w:p>
      <w:pPr>
        <w:pStyle w:val="Heading1"/>
        <w:spacing w:after="80"/>
      </w:pPr>
      <w:r>
        <w:t>Instructions for use</w:t>
      </w:r>
    </w:p>
    <w:p>
      <w:pPr>
        <w:pStyle w:val="ListBullet"/>
        <w:spacing w:after="80"/>
      </w:pPr>
      <w:r>
        <w:t>The criteria, weighting and maximum points must be copied verbatim from the specific published Call.</w:t>
      </w:r>
    </w:p>
    <w:p>
      <w:pPr>
        <w:pStyle w:val="ListBullet"/>
        <w:spacing w:after="80"/>
      </w:pPr>
      <w:r>
        <w:t>The committee must not add, remove or change the criteria after the application deadline.</w:t>
      </w:r>
    </w:p>
    <w:p>
      <w:pPr>
        <w:pStyle w:val="ListBullet"/>
        <w:spacing w:after="80"/>
      </w:pPr>
      <w:r>
        <w:t>Scoring must be verifiable and based on the documentation submitted by the candidate.</w:t>
      </w:r>
    </w:p>
    <w:p>
      <w:pPr>
        <w:pStyle w:val="Heading1"/>
        <w:spacing w:after="80"/>
      </w:pPr>
      <w:r>
        <w:t>Blank form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Criterion from the Call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Max points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Points awarded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Comment / evidence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1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2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3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Criterion 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signature of committee member 1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signature of committee member 2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  <w:tr>
        <w:tc>
          <w:tcPr>
            <w:tcW w:type="dxa" w:w="5112"/>
            <w:shd w:fill="F2F2F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Name and signature of committee member 3</w:t>
            </w:r>
          </w:p>
        </w:tc>
        <w:tc>
          <w:tcPr>
            <w:tcW w:type="dxa" w:w="5112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</w:pPr>
      <w:r>
        <w:br w:type="page"/>
      </w:r>
    </w:p>
    <w:p>
      <w:pPr>
        <w:spacing w:after="80"/>
        <w:jc w:val="center"/>
      </w:pPr>
      <w:r>
        <w:rPr>
          <w:b/>
          <w:color w:val="555555"/>
          <w:sz w:val="52"/>
        </w:rPr>
        <w:t>PRIMER / EXAMPLE</w:t>
      </w:r>
    </w:p>
    <w:p>
      <w:pPr>
        <w:spacing w:after="80"/>
        <w:jc w:val="center"/>
      </w:pPr>
      <w:r>
        <w:rPr>
          <w:b/>
          <w:color w:val="A00000"/>
          <w:sz w:val="24"/>
        </w:rPr>
        <w:t>DELETE BEFORE OFFICIAL USE</w:t>
      </w:r>
    </w:p>
    <w:p>
      <w:pPr>
        <w:spacing w:after="80"/>
      </w:pPr>
      <w:r>
        <w:t>Example of a completed scoring sheet. Criteria must always correspond to the specific published Call.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Criterion from the Call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Max points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Points awarded</w:t>
            </w:r>
          </w:p>
        </w:tc>
        <w:tc>
          <w:tcPr>
            <w:tcW w:type="dxa" w:w="2556"/>
            <w:shd w:fill="D9EAF7"/>
          </w:tcPr>
          <w:p>
            <w:pPr>
              <w:spacing w:after="0" w:before="0"/>
            </w:pPr>
            <w:r/>
            <w:r>
              <w:rPr>
                <w:b/>
                <w:sz w:val="18"/>
              </w:rPr>
              <w:t>Comment / evidence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Relevance to the position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 line with the job profile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Quality of the Mobility Agreement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25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23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Clear objectives and outcomes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Institutional impact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18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Internal dissemination plan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Additional criterion from the Call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30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24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According to the Call</w:t>
            </w:r>
          </w:p>
        </w:tc>
      </w:tr>
      <w:tr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TOTAL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100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  <w:t>89</w:t>
            </w:r>
          </w:p>
        </w:tc>
        <w:tc>
          <w:tcPr>
            <w:tcW w:type="dxa" w:w="2556"/>
          </w:tcPr>
          <w:p>
            <w:pPr>
              <w:spacing w:after="0" w:before="0"/>
            </w:pPr>
            <w:r/>
            <w:r>
              <w:rPr>
                <w:b w:val="0"/>
                <w:sz w:val="18"/>
              </w:rPr>
            </w:r>
          </w:p>
        </w:tc>
      </w:tr>
    </w:tbl>
    <w:p>
      <w:pPr>
        <w:spacing w:after="80"/>
      </w:pPr>
    </w:p>
    <w:p>
      <w:pPr>
        <w:spacing w:after="80"/>
        <w:jc w:val="center"/>
      </w:pPr>
      <w:r>
        <w:rPr>
          <w:b/>
          <w:color w:val="A00000"/>
        </w:rPr>
        <w:t>DELETE BEFORE OFFICIAL USE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936" w:left="1037" w:header="173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E6E6E"/>
        <w:sz w:val="16"/>
      </w:rPr>
      <w:t>Melius Academy | Erasmus+ Higher Education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drawing>
        <wp:inline xmlns:a="http://schemas.openxmlformats.org/drawingml/2006/main" xmlns:pic="http://schemas.openxmlformats.org/drawingml/2006/picture">
          <wp:extent cx="6537960" cy="745327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Melius_Erasmus_Header_FINAL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537960" cy="745327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22B3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122B3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122B3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