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OB-ER-04</w:t>
      </w:r>
    </w:p>
    <w:p>
      <w:pPr>
        <w:spacing w:after="80"/>
        <w:jc w:val="center"/>
      </w:pPr>
      <w:r>
        <w:rPr>
          <w:b/>
          <w:color w:val="122B38"/>
          <w:sz w:val="36"/>
        </w:rPr>
        <w:t>BODOVNA LISTA – OSOBLJE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koristi komisija za dokumentovanje bodovanja kandidata iz reda osoblja. Kriterijumi i ponderi određuju se isključivo u konkretnom konkursu.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Kriterijumi, ponderi i maksimalni broj bodova moraju se doslovno prepisati iz konkretnog objavljenog konkursa.</w:t>
      </w:r>
    </w:p>
    <w:p>
      <w:pPr>
        <w:pStyle w:val="ListBullet"/>
        <w:spacing w:after="80"/>
      </w:pPr>
      <w:r>
        <w:t>Komisija ne sme dodavati, uklanjati ili menjati kriterijume nakon isteka roka za prijavu.</w:t>
      </w:r>
    </w:p>
    <w:p>
      <w:pPr>
        <w:pStyle w:val="ListBullet"/>
        <w:spacing w:after="80"/>
      </w:pPr>
      <w:r>
        <w:t>Bodovanje mora biti proverljivo i zasnovano na dostavljenoj dokumentaciji kandidata.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Kriterijum iz konkursa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Maks. bodova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Ostvareni bodovi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Komentar / dokaz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1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2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3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potpis člana komisije 1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potpis člana komisije 2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potpis člana komisije 3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p>
      <w:pPr>
        <w:spacing w:after="80"/>
      </w:pPr>
      <w:r>
        <w:t>Primer popunjene bodovne liste. Kriterijumi uvek moraju biti usklađeni sa konkretnim konkursom.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Kriterijum iz konkursa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Maks. bodova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Ostvareni bodovi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Komentar / dokaz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Relevantnost za radno mesto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 skladu sa opisom radnog mesta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Kvalitet Mobility Agreement-a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23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Jasni ciljevi i ishodi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Institucionalni efekat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18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Plan internog prenosa znanja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Dodatni kriterijum iz konkursa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 skladu sa konkursom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UKUPNO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89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