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OB-ER-08</w:t>
      </w:r>
    </w:p>
    <w:p>
      <w:pPr>
        <w:spacing w:after="80"/>
        <w:jc w:val="center"/>
      </w:pPr>
      <w:r>
        <w:rPr>
          <w:b/>
          <w:color w:val="122B38"/>
          <w:sz w:val="36"/>
        </w:rPr>
        <w:t>CERTIFICATE OF ECTS CREDITS ACHIEVED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certificate is used as a summary and confirmation of achieved ECTS credits, usually on the basis of a Transcript of Records, BIP certificate or other official academic record.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ID number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Sending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Host institution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Type of mobility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Mobility period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Course / component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Course / component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Course / component 3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3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 ECTS achieved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Basis for issuing the certificate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Transcript of Records / other document</w:t>
            </w:r>
          </w:p>
        </w:tc>
      </w:tr>
    </w:tbl>
    <w:p>
      <w:pPr>
        <w:spacing w:after="80"/>
      </w:pPr>
    </w:p>
    <w:p>
      <w:pPr>
        <w:spacing w:after="80"/>
      </w:pPr>
      <w:r>
        <w:t>This certificate is issued on the basis of official academic records and may be used in the academic recognition procedure.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full name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Course / component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Digital Marketing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1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6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Course / component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Entrepreneurship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ECTS 2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6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 ECTS achieved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