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OB-ER-09</w:t>
      </w:r>
    </w:p>
    <w:p>
      <w:pPr>
        <w:spacing w:after="80"/>
        <w:jc w:val="center"/>
      </w:pPr>
      <w:r>
        <w:rPr>
          <w:b/>
          <w:color w:val="122B38"/>
          <w:sz w:val="36"/>
        </w:rPr>
        <w:t>POTVRDA O ZAVRŠENOJ STRUČNOJ PRAKSI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Potvrda dokumentuje uspešno realizovanu stručnu praksu, radne zadatke, ishode učenja i evaluaciju učinka studenta.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Matična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Mentor / supervizor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prakse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Ukupan broj dana ili sati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Glavni zadaci / aktivnosti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Ostvareni ishodi učenja / kompetencije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Kratka procena učinka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ESPB / ECTS, ako je primenljivo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 izdavanja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Potvrda treba da bude potpisana od strane mentora ili odgovornog lica host organizacije.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/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</w:pPr>
      <w:r>
        <w:t>Napomena o ESPB/ECTS</w:t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Marko Jovanović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Example Company Ltd.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Mentor / supervizor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Maria 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Glavni zadaci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Marketing analiza i priprema kampanje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Ishodi učenja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Digitalne, analitičke i timske kompetencije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