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360" w:after="80"/>
        <w:jc w:val="center"/>
      </w:pPr>
      <w:r>
        <w:rPr>
          <w:b/>
          <w:color w:val="555555"/>
          <w:sz w:val="22"/>
        </w:rPr>
        <w:t>OB-ER-11</w:t>
      </w:r>
    </w:p>
    <w:p>
      <w:pPr>
        <w:spacing w:after="80"/>
        <w:jc w:val="center"/>
      </w:pPr>
      <w:r>
        <w:rPr>
          <w:b/>
          <w:color w:val="122B38"/>
          <w:sz w:val="36"/>
        </w:rPr>
        <w:t>APPEAL AGAINST PRELIMINARY RANKING</w:t>
      </w:r>
    </w:p>
    <w:p>
      <w:pPr>
        <w:spacing w:after="80"/>
        <w:jc w:val="center"/>
      </w:pPr>
      <w:r>
        <w:rPr>
          <w:b/>
          <w:sz w:val="22"/>
        </w:rPr>
        <w:t>Visoka škola akademskih studija „Melius Academy“ – Beograd</w:t>
      </w:r>
    </w:p>
    <w:p>
      <w:pPr>
        <w:spacing w:after="80"/>
        <w:jc w:val="center"/>
      </w:pPr>
      <w:r>
        <w:rPr>
          <w:i/>
          <w:sz w:val="21"/>
        </w:rPr>
        <w:t>Melius Academy, Belgrade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Purpose of the form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This form is used to submit an appeal against the preliminary ranking list within the deadline defined by the Call.</w:t>
            </w:r>
          </w:p>
        </w:tc>
      </w:tr>
    </w:tbl>
    <w:p>
      <w:pPr>
        <w:spacing w:after="80"/>
      </w:pPr>
    </w:p>
    <w:p>
      <w:pPr>
        <w:pStyle w:val="Heading1"/>
        <w:spacing w:after="80"/>
      </w:pPr>
      <w:r>
        <w:t>Instructions for use</w:t>
      </w:r>
    </w:p>
    <w:p>
      <w:pPr>
        <w:pStyle w:val="ListBullet"/>
        <w:spacing w:after="80"/>
      </w:pPr>
      <w:r>
        <w:t>Complete all applicable fields and mark N/A where a field is not relevant.</w:t>
      </w:r>
    </w:p>
    <w:p>
      <w:pPr>
        <w:pStyle w:val="ListBullet"/>
        <w:spacing w:after="80"/>
      </w:pPr>
      <w:r>
        <w:t>Use this form together with the applicable Erasmus+ rules, the Call and the accompanying documentation.</w:t>
      </w:r>
    </w:p>
    <w:p>
      <w:pPr>
        <w:pStyle w:val="ListBullet"/>
        <w:spacing w:after="80"/>
      </w:pPr>
      <w:r>
        <w:t>Signature and institutional stamp are used where required by the purpose of the document or institutional practice.</w:t>
      </w:r>
    </w:p>
    <w:p>
      <w:pPr>
        <w:pStyle w:val="Heading1"/>
        <w:spacing w:after="80"/>
      </w:pPr>
      <w:r>
        <w:t>Blank form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Field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Information / Note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Full name of the applicant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Status of the applicant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student / staff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Call concerned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Date of publication of the preliminary ranking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Short description of the grounds for appeal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Criterion or part of the procedure concerned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Reasoning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Evidence attached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Requested remedy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p>
      <w:pPr>
        <w:spacing w:after="80"/>
      </w:pPr>
      <w:r>
        <w:t>The appeal must be submitted within the deadline defined by the Call. Late appeals are not considered.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Place and date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Name and function of the authorised person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Signature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Institution / organisation stamp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p>
      <w:pPr>
        <w:spacing w:after="80"/>
      </w:pPr>
      <w:r>
        <w:br w:type="page"/>
      </w:r>
    </w:p>
    <w:p>
      <w:pPr>
        <w:spacing w:after="80"/>
        <w:jc w:val="center"/>
      </w:pPr>
      <w:r>
        <w:rPr>
          <w:b/>
          <w:color w:val="555555"/>
          <w:sz w:val="52"/>
        </w:rPr>
        <w:t>PRIMER / EXAMPLE</w:t>
      </w:r>
    </w:p>
    <w:p>
      <w:pPr>
        <w:spacing w:after="80"/>
        <w:jc w:val="center"/>
      </w:pPr>
      <w:r>
        <w:rPr>
          <w:b/>
          <w:color w:val="A00000"/>
          <w:sz w:val="24"/>
        </w:rPr>
        <w:t>DELETE BEFORE OFFICIAL USE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Field</w:t>
            </w:r>
          </w:p>
        </w:tc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Example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Full name of the applicant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Ana Petrović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Call concerned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KA131-HED student mobility – studies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Grounds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Incorrect calculation of points for academic performance</w:t>
            </w:r>
          </w:p>
        </w:tc>
      </w:tr>
      <w:tr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Requested remedy</w:t>
            </w:r>
          </w:p>
        </w:tc>
        <w:tc>
          <w:tcPr>
            <w:tcW w:type="dxa" w:w="5112"/>
            <w:vAlign w:val="center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Recalculation of criterion 1</w:t>
            </w:r>
          </w:p>
        </w:tc>
      </w:tr>
    </w:tbl>
    <w:p>
      <w:pPr>
        <w:spacing w:after="80"/>
      </w:pPr>
    </w:p>
    <w:p>
      <w:pPr>
        <w:spacing w:after="80"/>
        <w:jc w:val="center"/>
      </w:pPr>
      <w:r>
        <w:rPr>
          <w:b/>
          <w:color w:val="A00000"/>
        </w:rPr>
        <w:t>DELETE BEFORE OFFICIAL USE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936" w:left="1037" w:header="17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E6E6E"/>
        <w:sz w:val="16"/>
      </w:rPr>
      <w:t>Melius Academy | Erasmus+ Higher Education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drawing>
        <wp:inline xmlns:a="http://schemas.openxmlformats.org/drawingml/2006/main" xmlns:pic="http://schemas.openxmlformats.org/drawingml/2006/picture">
          <wp:extent cx="6537960" cy="745327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Melius_Erasmus_Header_FINAL.pn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537960" cy="745327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22B3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22B38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