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60" w:after="80"/>
        <w:jc w:val="center"/>
      </w:pPr>
      <w:r>
        <w:rPr>
          <w:b/>
          <w:color w:val="555555"/>
          <w:sz w:val="22"/>
        </w:rPr>
        <w:t>OB-ER-11</w:t>
      </w:r>
    </w:p>
    <w:p>
      <w:pPr>
        <w:spacing w:after="80"/>
        <w:jc w:val="center"/>
      </w:pPr>
      <w:r>
        <w:rPr>
          <w:b/>
          <w:color w:val="122B38"/>
          <w:sz w:val="36"/>
        </w:rPr>
        <w:t>PRIGOVOR NA PRELIMINARNU RANG-LISTU</w:t>
      </w:r>
    </w:p>
    <w:p>
      <w:pPr>
        <w:spacing w:after="80"/>
        <w:jc w:val="center"/>
      </w:pPr>
      <w:r>
        <w:rPr>
          <w:b/>
          <w:sz w:val="22"/>
        </w:rPr>
        <w:t>Visoka škola akademskih studija „Melius Academy“ – Beograd</w:t>
      </w:r>
    </w:p>
    <w:p>
      <w:pPr>
        <w:spacing w:after="80"/>
        <w:jc w:val="center"/>
      </w:pPr>
      <w:r>
        <w:rPr>
          <w:i/>
          <w:sz w:val="21"/>
        </w:rPr>
        <w:t>Melius Academy, Belgrade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Svrha obrasca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Obrazac se koristi za podnošenje prigovora na preliminarnu rang-listu u roku utvrđenom konkursom.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Uputstvo za korišćenje</w:t>
      </w:r>
    </w:p>
    <w:p>
      <w:pPr>
        <w:pStyle w:val="ListBullet"/>
        <w:spacing w:after="80"/>
      </w:pPr>
      <w:r>
        <w:t>Popuniti sva primenljiva polja i označiti N/A tamo gde polje nije relevantno.</w:t>
      </w:r>
    </w:p>
    <w:p>
      <w:pPr>
        <w:pStyle w:val="ListBullet"/>
        <w:spacing w:after="80"/>
      </w:pPr>
      <w:r>
        <w:t>Koristiti ovaj obrazac zajedno sa važećim Erasmus+ pravilima, konkursom i pratećom dokumentacijom.</w:t>
      </w:r>
    </w:p>
    <w:p>
      <w:pPr>
        <w:pStyle w:val="ListBullet"/>
        <w:spacing w:after="80"/>
      </w:pPr>
      <w:r>
        <w:t>Potpis i pečat koriste se tamo gde to zahteva svrha dokumenta ili institucionalna praksa.</w:t>
      </w:r>
    </w:p>
    <w:p>
      <w:pPr>
        <w:pStyle w:val="Heading1"/>
        <w:spacing w:after="80"/>
      </w:pPr>
      <w:r>
        <w:t>Prazan obrazac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Polje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Podaci / Napomena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prezime podnosioca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Status podnosioca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student / osoblje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Konkurs na koji se prigovor odnosi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Datum objave preliminarne rang-liste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Kratak opis razloga za prigovor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Kriterijum ili deo postupka na koji se prigovor odnosi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Obrazloženje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Dokazi u prilogu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Predlog / zahtev podnosioca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t>Prigovor se podnosi u roku propisanom konkursom. Nepravovremeni prigovori se ne razmatraju.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Mesto i datum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funkcija odgovornog lica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Potpis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Pečat ustanove / organizacije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br w:type="page"/>
      </w:r>
    </w:p>
    <w:p>
      <w:pPr>
        <w:spacing w:after="80"/>
        <w:jc w:val="center"/>
      </w:pPr>
      <w:r>
        <w:rPr>
          <w:b/>
          <w:color w:val="555555"/>
          <w:sz w:val="52"/>
        </w:rPr>
        <w:t>PRIMER / EXAMPLE</w:t>
      </w:r>
    </w:p>
    <w:p>
      <w:pPr>
        <w:spacing w:after="80"/>
        <w:jc w:val="center"/>
      </w:pPr>
      <w:r>
        <w:rPr>
          <w:b/>
          <w:color w:val="A00000"/>
          <w:sz w:val="24"/>
        </w:rPr>
        <w:t>OBRISATI PRE ZVANIČNE UPOTREBE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Polje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Primer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prezime podnosioca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Ana Petrović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Konkurs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KA131-HED student mobility – studies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Razlog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Pogrešno obračunati bodovi za akademski uspeh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Predlog / zahtev podnosioca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Ponovni obračun kriterijuma 1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A00000"/>
        </w:rPr>
        <w:t>OBRISATI PRE ZVANIČNE UPOTREBE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