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OB-ER-12</w:t>
      </w:r>
    </w:p>
    <w:p>
      <w:pPr>
        <w:spacing w:after="80"/>
        <w:jc w:val="center"/>
      </w:pPr>
      <w:r>
        <w:rPr>
          <w:b/>
          <w:color w:val="122B38"/>
          <w:sz w:val="36"/>
        </w:rPr>
        <w:t>ZAHTEV ZA AKADEMSKO PRIZNAVANJE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se koristi nakon završene mobilnosti radi pokretanja internog postupka akademskog priznavanja na osnovu finalnog Learning Agreement-a i završne akademske dokumentacije.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indeksa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Studijski program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 / SMT / BIP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ustanova /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Priloženi završni Learning Agreement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 / NE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Priložen Transcript / Traineeship Certificate / BIP potvrda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 / NE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Predlog priznavanja (predmet / praksa / BIP / izborni blok)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ESPB / ECTS za priznavanje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Napomena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Odluka / napomena nadležne jedinice Melius Academy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Napomena o ESPB/ECTS</w:t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Studijski program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Menadžment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ustanova /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Partner University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ESPB / ECTS za priznavanje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