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80"/>
        <w:jc w:val="center"/>
      </w:pPr>
      <w:r>
        <w:rPr>
          <w:color w:val="5A5A5A"/>
          <w:sz w:val="18"/>
        </w:rPr>
      </w:r>
    </w:p>
    <w:p>
      <w:pPr>
        <w:jc w:val="center"/>
      </w:pPr>
      <w:r>
        <w:t>Melius Academy, Belgrade</w:t>
      </w:r>
    </w:p>
    <w:p>
      <w:pPr>
        <w:jc w:val="center"/>
      </w:pPr>
      <w:r>
        <w:rPr>
          <w:b/>
          <w:color w:val="501214"/>
        </w:rPr>
        <w:t>Visoka škola akademskih studija „Melius Academy“ – Beograd</w:t>
      </w:r>
    </w:p>
    <w:p>
      <w:pPr>
        <w:spacing w:before="1800" w:after="80"/>
        <w:jc w:val="center"/>
      </w:pPr>
      <w:r>
        <w:rPr>
          <w:b/>
          <w:color w:val="122B38"/>
          <w:sz w:val="42"/>
        </w:rPr>
        <w:t>GENERAL ERASMUS+ MOBILITY REGULATIONS</w:t>
      </w:r>
    </w:p>
    <w:p>
      <w:pPr>
        <w:spacing w:after="80"/>
        <w:jc w:val="center"/>
      </w:pPr>
      <w:r>
        <w:rPr>
          <w:i/>
          <w:sz w:val="22"/>
        </w:rPr>
        <w:t>Institutional framework for student and staff mobility</w:t>
      </w:r>
    </w:p>
    <w:p>
      <w:pPr>
        <w:spacing w:after="80"/>
        <w:jc w:val="center"/>
      </w:pPr>
      <w:r>
        <w:rPr>
          <w:color w:val="646464"/>
          <w:sz w:val="20"/>
        </w:rPr>
        <w:t>Melius Academy | Erasmus+ Higher Education</w:t>
      </w:r>
    </w:p>
    <w:p>
      <w:pPr>
        <w:spacing w:after="80"/>
      </w:pPr>
      <w:r>
        <w:br w:type="page"/>
      </w:r>
    </w:p>
    <w:p>
      <w:pPr>
        <w:pStyle w:val="Heading1"/>
        <w:spacing w:after="80"/>
      </w:pPr>
      <w:r>
        <w:t>Legend of abbreviations</w:t>
      </w:r>
    </w:p>
    <w:tbl>
      <w:tblPr>
        <w:tblStyle w:val="TableGrid"/>
        <w:tblW w:type="auto" w:w="0"/>
        <w:jc w:val="center"/>
        <w:tblLook w:firstColumn="1" w:firstRow="1" w:lastColumn="0" w:lastRow="0" w:noHBand="0" w:noVBand="1" w:val="04A0"/>
      </w:tblPr>
      <w:tblGrid>
        <w:gridCol w:w="5083"/>
        <w:gridCol w:w="5083"/>
      </w:tblGrid>
      <w:tr>
        <w:trPr>
          <w:tblHeader w:val="true"/>
        </w:trPr>
        <w:tc>
          <w:tcPr>
            <w:tcW w:type="dxa" w:w="5083"/>
            <w:shd w:fill="E8F0F5"/>
          </w:tcPr>
          <w:p>
            <w:r>
              <w:rPr>
                <w:b/>
                <w:sz w:val="18"/>
              </w:rPr>
              <w:t>Abbreviation</w:t>
            </w:r>
          </w:p>
        </w:tc>
        <w:tc>
          <w:tcPr>
            <w:tcW w:type="dxa" w:w="5083"/>
            <w:shd w:fill="E8F0F5"/>
          </w:tcPr>
          <w:p>
            <w:r>
              <w:rPr>
                <w:b/>
                <w:sz w:val="18"/>
              </w:rPr>
              <w:t>Meaning</w:t>
            </w:r>
          </w:p>
        </w:tc>
      </w:tr>
      <w:tr>
        <w:tc>
          <w:tcPr>
            <w:tcW w:type="dxa" w:w="5083"/>
            <w:vAlign w:val="center"/>
          </w:tcPr>
          <w:p>
            <w:r>
              <w:rPr>
                <w:sz w:val="18"/>
              </w:rPr>
              <w:t>SMS</w:t>
            </w:r>
          </w:p>
        </w:tc>
        <w:tc>
          <w:tcPr>
            <w:tcW w:type="dxa" w:w="5083"/>
            <w:vAlign w:val="center"/>
          </w:tcPr>
          <w:p>
            <w:r>
              <w:rPr>
                <w:sz w:val="18"/>
              </w:rPr>
              <w:t>Student Mobility for Studies</w:t>
            </w:r>
          </w:p>
        </w:tc>
      </w:tr>
      <w:tr>
        <w:tc>
          <w:tcPr>
            <w:tcW w:type="dxa" w:w="5083"/>
            <w:vAlign w:val="center"/>
          </w:tcPr>
          <w:p>
            <w:r>
              <w:rPr>
                <w:sz w:val="18"/>
              </w:rPr>
              <w:t>SMT</w:t>
            </w:r>
          </w:p>
        </w:tc>
        <w:tc>
          <w:tcPr>
            <w:tcW w:type="dxa" w:w="5083"/>
            <w:vAlign w:val="center"/>
          </w:tcPr>
          <w:p>
            <w:r>
              <w:rPr>
                <w:sz w:val="18"/>
              </w:rPr>
              <w:t>Student Mobility for Traineeships</w:t>
            </w:r>
          </w:p>
        </w:tc>
      </w:tr>
      <w:tr>
        <w:tc>
          <w:tcPr>
            <w:tcW w:type="dxa" w:w="5083"/>
            <w:vAlign w:val="center"/>
          </w:tcPr>
          <w:p>
            <w:r>
              <w:rPr>
                <w:sz w:val="18"/>
              </w:rPr>
              <w:t>STA</w:t>
            </w:r>
          </w:p>
        </w:tc>
        <w:tc>
          <w:tcPr>
            <w:tcW w:type="dxa" w:w="5083"/>
            <w:vAlign w:val="center"/>
          </w:tcPr>
          <w:p>
            <w:r>
              <w:rPr>
                <w:sz w:val="18"/>
              </w:rPr>
              <w:t>Staff Mobility for Teaching</w:t>
            </w:r>
          </w:p>
        </w:tc>
      </w:tr>
      <w:tr>
        <w:tc>
          <w:tcPr>
            <w:tcW w:type="dxa" w:w="5083"/>
            <w:vAlign w:val="center"/>
          </w:tcPr>
          <w:p>
            <w:r>
              <w:rPr>
                <w:sz w:val="18"/>
              </w:rPr>
              <w:t>STT</w:t>
            </w:r>
          </w:p>
        </w:tc>
        <w:tc>
          <w:tcPr>
            <w:tcW w:type="dxa" w:w="5083"/>
            <w:vAlign w:val="center"/>
          </w:tcPr>
          <w:p>
            <w:r>
              <w:rPr>
                <w:sz w:val="18"/>
              </w:rPr>
              <w:t>Staff Mobility for Training</w:t>
            </w:r>
          </w:p>
        </w:tc>
      </w:tr>
      <w:tr>
        <w:tc>
          <w:tcPr>
            <w:tcW w:type="dxa" w:w="5083"/>
            <w:vAlign w:val="center"/>
          </w:tcPr>
          <w:p>
            <w:r>
              <w:rPr>
                <w:sz w:val="18"/>
              </w:rPr>
              <w:t>BIP</w:t>
            </w:r>
          </w:p>
        </w:tc>
        <w:tc>
          <w:tcPr>
            <w:tcW w:type="dxa" w:w="5083"/>
            <w:vAlign w:val="center"/>
          </w:tcPr>
          <w:p>
            <w:r>
              <w:rPr>
                <w:sz w:val="18"/>
              </w:rPr>
              <w:t>Blended Intensive Programme</w:t>
            </w:r>
          </w:p>
        </w:tc>
      </w:tr>
      <w:tr>
        <w:tc>
          <w:tcPr>
            <w:tcW w:type="dxa" w:w="5083"/>
            <w:vAlign w:val="center"/>
          </w:tcPr>
          <w:p>
            <w:r>
              <w:rPr>
                <w:sz w:val="18"/>
              </w:rPr>
              <w:t>ECTS</w:t>
            </w:r>
          </w:p>
        </w:tc>
        <w:tc>
          <w:tcPr>
            <w:tcW w:type="dxa" w:w="5083"/>
            <w:vAlign w:val="center"/>
          </w:tcPr>
          <w:p>
            <w:r>
              <w:rPr>
                <w:sz w:val="18"/>
              </w:rPr>
              <w:t>European Credit Transfer and Accumulation System</w:t>
            </w:r>
          </w:p>
        </w:tc>
      </w:tr>
      <w:tr>
        <w:tc>
          <w:tcPr>
            <w:tcW w:type="dxa" w:w="5083"/>
            <w:vAlign w:val="center"/>
          </w:tcPr>
          <w:p>
            <w:r>
              <w:rPr>
                <w:sz w:val="18"/>
              </w:rPr>
              <w:t>LA</w:t>
            </w:r>
          </w:p>
        </w:tc>
        <w:tc>
          <w:tcPr>
            <w:tcW w:type="dxa" w:w="5083"/>
            <w:vAlign w:val="center"/>
          </w:tcPr>
          <w:p>
            <w:r>
              <w:rPr>
                <w:sz w:val="18"/>
              </w:rPr>
              <w:t>Learning Agreement</w:t>
            </w:r>
          </w:p>
        </w:tc>
      </w:tr>
      <w:tr>
        <w:tc>
          <w:tcPr>
            <w:tcW w:type="dxa" w:w="5083"/>
            <w:vAlign w:val="center"/>
          </w:tcPr>
          <w:p>
            <w:r>
              <w:rPr>
                <w:sz w:val="18"/>
              </w:rPr>
              <w:t>MA</w:t>
            </w:r>
          </w:p>
        </w:tc>
        <w:tc>
          <w:tcPr>
            <w:tcW w:type="dxa" w:w="5083"/>
            <w:vAlign w:val="center"/>
          </w:tcPr>
          <w:p>
            <w:r>
              <w:rPr>
                <w:sz w:val="18"/>
              </w:rPr>
              <w:t>Mobility Agreement</w:t>
            </w:r>
          </w:p>
        </w:tc>
      </w:tr>
      <w:tr>
        <w:tc>
          <w:tcPr>
            <w:tcW w:type="dxa" w:w="5083"/>
            <w:vAlign w:val="center"/>
          </w:tcPr>
          <w:p>
            <w:r>
              <w:rPr>
                <w:sz w:val="18"/>
              </w:rPr>
              <w:t>IIA</w:t>
            </w:r>
          </w:p>
        </w:tc>
        <w:tc>
          <w:tcPr>
            <w:tcW w:type="dxa" w:w="5083"/>
            <w:vAlign w:val="center"/>
          </w:tcPr>
          <w:p>
            <w:r>
              <w:rPr>
                <w:sz w:val="18"/>
              </w:rPr>
              <w:t>Inter-Institutional Agreement</w:t>
            </w:r>
          </w:p>
        </w:tc>
      </w:tr>
      <w:tr>
        <w:tc>
          <w:tcPr>
            <w:tcW w:type="dxa" w:w="5083"/>
            <w:vAlign w:val="center"/>
          </w:tcPr>
          <w:p>
            <w:r>
              <w:rPr>
                <w:sz w:val="18"/>
              </w:rPr>
              <w:t>HEI</w:t>
            </w:r>
          </w:p>
        </w:tc>
        <w:tc>
          <w:tcPr>
            <w:tcW w:type="dxa" w:w="5083"/>
            <w:vAlign w:val="center"/>
          </w:tcPr>
          <w:p>
            <w:r>
              <w:rPr>
                <w:sz w:val="18"/>
              </w:rPr>
              <w:t>Higher Education Institution</w:t>
            </w:r>
          </w:p>
        </w:tc>
      </w:tr>
      <w:tr>
        <w:tc>
          <w:tcPr>
            <w:tcW w:type="dxa" w:w="5083"/>
            <w:vAlign w:val="center"/>
          </w:tcPr>
          <w:p>
            <w:r>
              <w:rPr>
                <w:sz w:val="18"/>
              </w:rPr>
              <w:t>ECHE</w:t>
            </w:r>
          </w:p>
        </w:tc>
        <w:tc>
          <w:tcPr>
            <w:tcW w:type="dxa" w:w="5083"/>
            <w:vAlign w:val="center"/>
          </w:tcPr>
          <w:p>
            <w:r>
              <w:rPr>
                <w:sz w:val="18"/>
              </w:rPr>
              <w:t>Erasmus Charter for Higher Education</w:t>
            </w:r>
          </w:p>
        </w:tc>
      </w:tr>
      <w:tr>
        <w:tc>
          <w:tcPr>
            <w:tcW w:type="dxa" w:w="5083"/>
            <w:vAlign w:val="center"/>
          </w:tcPr>
          <w:p>
            <w:r>
              <w:rPr>
                <w:sz w:val="18"/>
              </w:rPr>
              <w:t>EWP</w:t>
            </w:r>
          </w:p>
        </w:tc>
        <w:tc>
          <w:tcPr>
            <w:tcW w:type="dxa" w:w="5083"/>
            <w:vAlign w:val="center"/>
          </w:tcPr>
          <w:p>
            <w:r>
              <w:rPr>
                <w:sz w:val="18"/>
              </w:rPr>
              <w:t>Erasmus Without Paper</w:t>
            </w:r>
          </w:p>
        </w:tc>
      </w:tr>
    </w:tbl>
    <w:p>
      <w:pPr>
        <w:spacing w:after="80"/>
      </w:pPr>
    </w:p>
    <w:p>
      <w:pPr>
        <w:pStyle w:val="Heading1"/>
        <w:spacing w:after="80"/>
      </w:pPr>
      <w:r>
        <w:t>I. GENERAL PROVISIONS</w:t>
      </w:r>
    </w:p>
    <w:p>
      <w:pPr>
        <w:spacing w:after="80"/>
      </w:pPr>
      <w:r>
        <w:t>These Regulations establish the institutional system for planning, selection, preparation, implementation, monitoring, recognition, reporting and archiving of Erasmus+ mobility activities carried out by Melius Academy in higher education.</w:t>
      </w:r>
    </w:p>
    <w:p>
      <w:pPr>
        <w:spacing w:after="80"/>
      </w:pPr>
      <w:r>
        <w:t>They apply to KA131-HED and KA171-HED student and staff mobility, blended mobility and Blended Intensive Programmes (BIPs), together with the specific Melius Academy procedures governing each mobility type.</w:t>
      </w:r>
    </w:p>
    <w:p>
      <w:pPr>
        <w:pStyle w:val="Heading1"/>
        <w:spacing w:after="80"/>
      </w:pPr>
      <w:r>
        <w:t>II. PRINCIPLES</w:t>
      </w:r>
    </w:p>
    <w:p>
      <w:pPr>
        <w:pStyle w:val="ListBullet"/>
        <w:spacing w:after="80"/>
      </w:pPr>
      <w:r>
        <w:t>equal and transparent access to mobility and non-discrimination;</w:t>
      </w:r>
    </w:p>
    <w:p>
      <w:pPr>
        <w:pStyle w:val="ListBullet"/>
        <w:spacing w:after="80"/>
      </w:pPr>
      <w:r>
        <w:t>academic relevance and prior approval of the mobility programme;</w:t>
      </w:r>
    </w:p>
    <w:p>
      <w:pPr>
        <w:pStyle w:val="ListBullet"/>
        <w:spacing w:after="80"/>
      </w:pPr>
      <w:r>
        <w:t>full and automatic recognition of successfully completed components agreed in the Learning Agreement;</w:t>
      </w:r>
    </w:p>
    <w:p>
      <w:pPr>
        <w:pStyle w:val="ListBullet"/>
        <w:spacing w:after="80"/>
      </w:pPr>
      <w:r>
        <w:t>inclusion and appropriate support for participants with fewer opportunities;</w:t>
      </w:r>
    </w:p>
    <w:p>
      <w:pPr>
        <w:pStyle w:val="ListBullet"/>
        <w:spacing w:after="80"/>
      </w:pPr>
      <w:r>
        <w:t>digital management of the mobility cycle through EWP/Digital Learning Agreements where applicable;</w:t>
      </w:r>
    </w:p>
    <w:p>
      <w:pPr>
        <w:pStyle w:val="ListBullet"/>
        <w:spacing w:after="80"/>
      </w:pPr>
      <w:r>
        <w:t>protection of personal data and participant safety;</w:t>
      </w:r>
    </w:p>
    <w:p>
      <w:pPr>
        <w:pStyle w:val="ListBullet"/>
        <w:spacing w:after="80"/>
      </w:pPr>
      <w:r>
        <w:t>environmental responsibility and encouragement of sustainable travel;</w:t>
      </w:r>
    </w:p>
    <w:p>
      <w:pPr>
        <w:pStyle w:val="ListBullet"/>
        <w:spacing w:after="80"/>
      </w:pPr>
      <w:r>
        <w:t>clear allocation of responsibilities between the participant, Melius Academy and the receiving/sending organisation.</w:t>
      </w:r>
    </w:p>
    <w:p>
      <w:pPr>
        <w:pStyle w:val="Heading1"/>
        <w:spacing w:after="80"/>
      </w:pPr>
      <w:r>
        <w:t>III. RESPONSIBILITIES</w:t>
      </w:r>
    </w:p>
    <w:p>
      <w:pPr>
        <w:pStyle w:val="Heading2"/>
        <w:spacing w:after="80"/>
      </w:pPr>
      <w:r>
        <w:t>Institutional responsibilities</w:t>
      </w:r>
    </w:p>
    <w:p>
      <w:pPr>
        <w:spacing w:after="80"/>
      </w:pPr>
      <w:r>
        <w:rPr>
          <w:b/>
        </w:rPr>
        <w:t xml:space="preserve">Step 1. </w:t>
      </w:r>
      <w:r>
        <w:t>The Erasmus/Institutional Coordinator verifies the project basis, partnership, available budget and eligibility before a mobility is offered or confirmed.</w:t>
      </w:r>
    </w:p>
    <w:p>
      <w:pPr>
        <w:spacing w:after="80"/>
      </w:pPr>
      <w:r>
        <w:rPr>
          <w:b/>
        </w:rPr>
        <w:t xml:space="preserve">Step 2. </w:t>
      </w:r>
      <w:r>
        <w:t>The relevant department or study programme assesses academic suitability, course availability, learning outcomes and recognition.</w:t>
      </w:r>
    </w:p>
    <w:p>
      <w:pPr>
        <w:spacing w:after="80"/>
      </w:pPr>
      <w:r>
        <w:rPr>
          <w:b/>
        </w:rPr>
        <w:t xml:space="preserve">Step 3. </w:t>
      </w:r>
      <w:r>
        <w:t>The Selection Committee evaluates applications where a call is required, using only the criteria and weighting published in that specific call.</w:t>
      </w:r>
    </w:p>
    <w:p>
      <w:pPr>
        <w:spacing w:after="80"/>
      </w:pPr>
      <w:r>
        <w:rPr>
          <w:b/>
        </w:rPr>
        <w:t xml:space="preserve">Step 4. </w:t>
      </w:r>
      <w:r>
        <w:t>Student Administration records recognised courses, grades and ECTS; the Finance Office manages payments and financial records under the relevant Grant Agreement.</w:t>
      </w:r>
    </w:p>
    <w:p>
      <w:pPr>
        <w:spacing w:after="80"/>
      </w:pPr>
      <w:r>
        <w:rPr>
          <w:b/>
        </w:rPr>
        <w:t xml:space="preserve">Step 5. </w:t>
      </w:r>
      <w:r>
        <w:t>The participant must provide accurate information, meet deadlines, follow the approved Learning/Mobility Agreement and immediately report any material change affecting the mobility.</w:t>
      </w:r>
    </w:p>
    <w:p>
      <w:pPr>
        <w:pStyle w:val="Heading1"/>
        <w:spacing w:after="80"/>
      </w:pPr>
      <w:r>
        <w:t>IV. STANDARD MOBILITY CYCLE</w:t>
      </w:r>
    </w:p>
    <w:p>
      <w:pPr>
        <w:pStyle w:val="Heading2"/>
        <w:spacing w:after="80"/>
      </w:pPr>
      <w:r>
        <w:t>Standard workflow</w:t>
      </w:r>
    </w:p>
    <w:p>
      <w:pPr>
        <w:spacing w:after="80"/>
      </w:pPr>
      <w:r>
        <w:rPr>
          <w:b/>
        </w:rPr>
        <w:t xml:space="preserve">Step 1. </w:t>
      </w:r>
      <w:r>
        <w:t>Planning and verification of the project/partnership basis.</w:t>
      </w:r>
    </w:p>
    <w:p>
      <w:pPr>
        <w:spacing w:after="80"/>
      </w:pPr>
      <w:r>
        <w:rPr>
          <w:b/>
        </w:rPr>
        <w:t xml:space="preserve">Step 2. </w:t>
      </w:r>
      <w:r>
        <w:t>Publication of a call or receipt of a partner nomination.</w:t>
      </w:r>
    </w:p>
    <w:p>
      <w:pPr>
        <w:spacing w:after="80"/>
      </w:pPr>
      <w:r>
        <w:rPr>
          <w:b/>
        </w:rPr>
        <w:t xml:space="preserve">Step 3. </w:t>
      </w:r>
      <w:r>
        <w:t>Eligibility and administrative check.</w:t>
      </w:r>
    </w:p>
    <w:p>
      <w:pPr>
        <w:spacing w:after="80"/>
      </w:pPr>
      <w:r>
        <w:rPr>
          <w:b/>
        </w:rPr>
        <w:t xml:space="preserve">Step 4. </w:t>
      </w:r>
      <w:r>
        <w:t>Selection, nomination and acceptance.</w:t>
      </w:r>
    </w:p>
    <w:p>
      <w:pPr>
        <w:spacing w:after="80"/>
      </w:pPr>
      <w:r>
        <w:rPr>
          <w:b/>
        </w:rPr>
        <w:t xml:space="preserve">Step 5. </w:t>
      </w:r>
      <w:r>
        <w:t>Academic planning and approval of the Learning Agreement or Mobility Agreement.</w:t>
      </w:r>
    </w:p>
    <w:p>
      <w:pPr>
        <w:spacing w:after="80"/>
      </w:pPr>
      <w:r>
        <w:rPr>
          <w:b/>
        </w:rPr>
        <w:t xml:space="preserve">Step 6. </w:t>
      </w:r>
      <w:r>
        <w:t>Financial and practical preparation, including insurance and visa/residence issues where relevant.</w:t>
      </w:r>
    </w:p>
    <w:p>
      <w:pPr>
        <w:spacing w:after="80"/>
      </w:pPr>
      <w:r>
        <w:rPr>
          <w:b/>
        </w:rPr>
        <w:t xml:space="preserve">Step 7. </w:t>
      </w:r>
      <w:r>
        <w:t>Implementation and monitoring of the mobility.</w:t>
      </w:r>
    </w:p>
    <w:p>
      <w:pPr>
        <w:spacing w:after="80"/>
      </w:pPr>
      <w:r>
        <w:rPr>
          <w:b/>
        </w:rPr>
        <w:t xml:space="preserve">Step 8. </w:t>
      </w:r>
      <w:r>
        <w:t>Approval of justified changes during mobility.</w:t>
      </w:r>
    </w:p>
    <w:p>
      <w:pPr>
        <w:spacing w:after="80"/>
      </w:pPr>
      <w:r>
        <w:rPr>
          <w:b/>
        </w:rPr>
        <w:t xml:space="preserve">Step 9. </w:t>
      </w:r>
      <w:r>
        <w:t>Collection of final documents.</w:t>
      </w:r>
    </w:p>
    <w:p>
      <w:pPr>
        <w:spacing w:after="80"/>
      </w:pPr>
      <w:r>
        <w:rPr>
          <w:b/>
        </w:rPr>
        <w:t xml:space="preserve">Step 10. </w:t>
      </w:r>
      <w:r>
        <w:t>Academic recognition and institutional recording.</w:t>
      </w:r>
    </w:p>
    <w:p>
      <w:pPr>
        <w:spacing w:after="80"/>
      </w:pPr>
      <w:r>
        <w:rPr>
          <w:b/>
        </w:rPr>
        <w:t xml:space="preserve">Step 11. </w:t>
      </w:r>
      <w:r>
        <w:t>Participant reporting, quality feedback and archiving.</w:t>
      </w:r>
    </w:p>
    <w:p>
      <w:pPr>
        <w:pStyle w:val="Heading1"/>
        <w:spacing w:after="80"/>
      </w:pPr>
      <w:r>
        <w:t>V. FUNDING AND SUPPORT</w:t>
      </w:r>
    </w:p>
    <w:p>
      <w:pPr>
        <w:spacing w:after="80"/>
      </w:pPr>
      <w:r>
        <w:t>Grant amounts are not fixed by these Regulations. The applicable individual support, travel support, top-ups for participants with fewer opportunities, inclusion support and other financial elements are determined by the relevant Erasmus+ call, the project grant agreement and the participant's individual Grant Agreement.</w:t>
      </w:r>
    </w:p>
    <w:p>
      <w:pPr>
        <w:spacing w:after="80"/>
      </w:pPr>
      <w:r>
        <w:t>A participant may not be promised a specific grant amount until the eligibility, project budget and individual agreement have been confirmed.</w:t>
      </w:r>
    </w:p>
    <w:p>
      <w:pPr>
        <w:pStyle w:val="Heading1"/>
        <w:spacing w:after="80"/>
      </w:pPr>
      <w:r>
        <w:t>VI. QUALITY AND RECOGNITION</w:t>
      </w:r>
    </w:p>
    <w:p>
      <w:pPr>
        <w:spacing w:after="80"/>
      </w:pPr>
      <w:r>
        <w:t>Melius Academy applies the ECHE quality principles. For student mobility, successfully completed components that were approved in the Learning Agreement are recognised without additional examinations or academic work imposed solely for recognition purposes.</w:t>
      </w:r>
    </w:p>
    <w:p>
      <w:pPr>
        <w:spacing w:after="80"/>
      </w:pPr>
      <w:r>
        <w:t>For a traineeship that is academically recognised within a Melius Academy study programme, an internal minimum of 3 ECTS applies. The final number of ECTS and the recognition method are decided by the ECTS Coordinator on the basis of the Learning Agreement, learning outcomes, workload and the applicable study programme. This is an internal academic standard of the institution and not a general Erasmus+ minimum for all traineeships.</w:t>
      </w:r>
    </w:p>
    <w:p>
      <w:pPr>
        <w:pStyle w:val="Heading1"/>
        <w:spacing w:after="80"/>
      </w:pPr>
      <w:r>
        <w:t>VII. DOCUMENTATION AND ARCHIVING</w:t>
      </w:r>
    </w:p>
    <w:p>
      <w:pPr>
        <w:pStyle w:val="ListBullet"/>
        <w:spacing w:after="80"/>
      </w:pPr>
      <w:r>
        <w:t>application/nomination records</w:t>
      </w:r>
    </w:p>
    <w:p>
      <w:pPr>
        <w:pStyle w:val="ListBullet"/>
        <w:spacing w:after="80"/>
      </w:pPr>
      <w:r>
        <w:t>selection and ranking documents</w:t>
      </w:r>
    </w:p>
    <w:p>
      <w:pPr>
        <w:pStyle w:val="ListBullet"/>
        <w:spacing w:after="80"/>
      </w:pPr>
      <w:r>
        <w:t>Learning/Mobility Agreement and amendments</w:t>
      </w:r>
    </w:p>
    <w:p>
      <w:pPr>
        <w:pStyle w:val="ListBullet"/>
        <w:spacing w:after="80"/>
      </w:pPr>
      <w:r>
        <w:t>Grant Agreement and annexes</w:t>
      </w:r>
    </w:p>
    <w:p>
      <w:pPr>
        <w:pStyle w:val="ListBullet"/>
        <w:spacing w:after="80"/>
      </w:pPr>
      <w:r>
        <w:t>insurance and inclusion-support records where relevant</w:t>
      </w:r>
    </w:p>
    <w:p>
      <w:pPr>
        <w:pStyle w:val="ListBullet"/>
        <w:spacing w:after="80"/>
      </w:pPr>
      <w:r>
        <w:t>evidence of the mobility period</w:t>
      </w:r>
    </w:p>
    <w:p>
      <w:pPr>
        <w:pStyle w:val="ListBullet"/>
        <w:spacing w:after="80"/>
      </w:pPr>
      <w:r>
        <w:t>Transcript of Records / Traineeship Certificate / participation certificate</w:t>
      </w:r>
    </w:p>
    <w:p>
      <w:pPr>
        <w:pStyle w:val="ListBullet"/>
        <w:spacing w:after="80"/>
      </w:pPr>
      <w:r>
        <w:t>recognition decision and student record entry</w:t>
      </w:r>
    </w:p>
    <w:p>
      <w:pPr>
        <w:pStyle w:val="ListBullet"/>
        <w:spacing w:after="80"/>
      </w:pPr>
      <w:r>
        <w:t>Participant Report and quality feedback</w:t>
      </w:r>
    </w:p>
    <w:p>
      <w:pPr>
        <w:pStyle w:val="Heading1"/>
        <w:spacing w:after="80"/>
      </w:pPr>
      <w:r>
        <w:t>VIII. PROGRAMME BASIS</w:t>
      </w:r>
    </w:p>
    <w:p>
      <w:pPr>
        <w:spacing w:after="80"/>
      </w:pPr>
      <w:r>
        <w:t>These procedures are implemented with reference to the current Erasmus+ Programme Guide, ECHE, Erasmus Student Charter, official Learning Agreement and Mobility Agreement templates, the relevant KA131-HED or KA171-HED Grant Agreement and the rules of the competent National Agency.</w:t>
      </w:r>
    </w:p>
    <w:p>
      <w:pPr>
        <w:spacing w:after="80"/>
      </w:pPr>
      <w:r>
        <w:br w:type="page"/>
      </w:r>
    </w:p>
    <w:p>
      <w:pPr>
        <w:spacing w:after="80"/>
      </w:pPr>
      <w:r>
        <w:t>This document is applied together with the current Erasmus+ Programme Guide 2026, ECHE principles, the applicable Learning Agreement/Mobility Agreement templates, the Grant Agreement of the specific project and the rules of the competent National Agency. If a programme rule changes, the rule applicable to the relevant call/project year prevails.</w:t>
      </w:r>
    </w:p>
    <w:p>
      <w:pPr>
        <w:pStyle w:val="Heading1"/>
        <w:spacing w:after="80"/>
      </w:pPr>
      <w:r>
        <w:t>Programme basis and applicability</w:t>
      </w:r>
    </w:p>
    <w:p>
      <w:pPr/>
      <w:r>
        <w:t>The institutional continuity of Melius Academy originates from the former Academy of Business Economics in Čačak. The institution operated under that name and held a work permit dating back to 2009. During 2026, a change of seat and name was implemented: in May 2026 the move from Čačak to Belgrade and the new name “Melius Academy” were publicly announced; in July 2026 the institution published the formal change of name and seat and subsequently a new work permit issued by the Ministry of Education for the higher education institution “Melius Academy” based in Belgrade. The change therefore represents institutional continuity under a new name and seat rather than the establishment of an entirely new institution.</w:t>
      </w:r>
    </w:p>
    <w:p>
      <w:pPr/>
      <w:r>
        <w:t>Melius Academy is a higher education institution of academic studies based at Trešnjin cvet 11, Belgrade, Republic of Serbia. Regular teaching is delivered in Serbian. For incoming Erasmus+ students, English-language support may be arranged in advance with the Erasmus/International Coordinator, the responsible teacher and the relevant organisational unit. Depending on academic and organisational feasibility, this may include explanations in English, selected English-language materials or interpretation/translation support. Such support is not automatically guaranteed for every course and should be agreed before final approval of the Learning Agreement.</w:t>
      </w:r>
    </w:p>
    <w:p>
      <w:pPr>
        <w:pStyle w:val="Heading1"/>
      </w:pPr>
      <w:r>
        <w:t>Institutional profile and continuity</w:t>
      </w:r>
    </w:p>
    <w:p>
      <w:pPr/>
      <w:r>
        <w:t>For a traineeship that is academically recognised within a Melius Academy study programme, an internal minimum of 3 ECTS applies. The final number of ECTS and the recognition method are decided by the ECTS Coordinator on the basis of the Learning Agreement, learning outcomes, workload and the applicable study programme. This is an internal academic standard of the institution and not a general Erasmus+ minimum for all traineeships.</w:t>
      </w:r>
    </w:p>
    <w:p>
      <w:pPr>
        <w:pStyle w:val="Heading1"/>
      </w:pPr>
      <w:r>
        <w:t>ECTS recognition of traineeships</w:t>
      </w:r>
    </w:p>
    <w:p>
      <w:pPr>
        <w:spacing w:after="80"/>
        <w:jc w:val="center"/>
      </w:pPr>
      <w:r>
        <w:rPr>
          <w:b/>
          <w:color w:val="B4B4B4"/>
          <w:sz w:val="60"/>
        </w:rPr>
        <w:t>PRIMER / EXAMPLE</w:t>
      </w:r>
    </w:p>
    <w:p>
      <w:pPr>
        <w:spacing w:after="80"/>
        <w:jc w:val="center"/>
      </w:pPr>
      <w:r>
        <w:rPr>
          <w:b/>
          <w:color w:val="B40000"/>
          <w:sz w:val="26"/>
        </w:rPr>
        <w:t>DELETE THIS ENTIRE PAGE BEFORE OFFICIAL USE</w:t>
      </w:r>
    </w:p>
    <w:p>
      <w:pPr>
        <w:pStyle w:val="Heading2"/>
        <w:spacing w:after="80"/>
      </w:pPr>
      <w:r>
        <w:t>Worked example</w:t>
      </w:r>
    </w:p>
    <w:tbl>
      <w:tblPr>
        <w:tblStyle w:val="TableGrid"/>
        <w:tblW w:type="auto" w:w="0"/>
        <w:jc w:val="center"/>
        <w:tblLook w:firstColumn="1" w:firstRow="1" w:lastColumn="0" w:lastRow="0" w:noHBand="0" w:noVBand="1" w:val="04A0"/>
      </w:tblPr>
      <w:tblGrid>
        <w:gridCol w:w="5083"/>
        <w:gridCol w:w="5083"/>
      </w:tblGrid>
      <w:tr>
        <w:trPr>
          <w:tblHeader w:val="true"/>
        </w:trPr>
        <w:tc>
          <w:tcPr>
            <w:tcW w:type="dxa" w:w="5083"/>
            <w:shd w:fill="E8F0F5"/>
          </w:tcPr>
          <w:p>
            <w:r>
              <w:rPr>
                <w:b/>
                <w:sz w:val="18"/>
              </w:rPr>
              <w:t>Field</w:t>
            </w:r>
          </w:p>
        </w:tc>
        <w:tc>
          <w:tcPr>
            <w:tcW w:type="dxa" w:w="5083"/>
            <w:shd w:fill="E8F0F5"/>
          </w:tcPr>
          <w:p>
            <w:r>
              <w:rPr>
                <w:b/>
                <w:sz w:val="18"/>
              </w:rPr>
              <w:t>Completed example</w:t>
            </w:r>
          </w:p>
        </w:tc>
      </w:tr>
      <w:tr>
        <w:tc>
          <w:tcPr>
            <w:tcW w:type="dxa" w:w="5083"/>
            <w:vAlign w:val="center"/>
          </w:tcPr>
          <w:p>
            <w:r>
              <w:rPr>
                <w:sz w:val="18"/>
              </w:rPr>
              <w:t>Example case</w:t>
            </w:r>
          </w:p>
        </w:tc>
        <w:tc>
          <w:tcPr>
            <w:tcW w:type="dxa" w:w="5083"/>
            <w:vAlign w:val="center"/>
          </w:tcPr>
          <w:p>
            <w:r>
              <w:rPr>
                <w:sz w:val="18"/>
              </w:rPr>
              <w:t>Ana Petrović participates in KA131-HED studies mobility.</w:t>
            </w:r>
          </w:p>
        </w:tc>
      </w:tr>
      <w:tr>
        <w:tc>
          <w:tcPr>
            <w:tcW w:type="dxa" w:w="5083"/>
            <w:vAlign w:val="center"/>
          </w:tcPr>
          <w:p>
            <w:r>
              <w:rPr>
                <w:sz w:val="18"/>
              </w:rPr>
              <w:t>Workflow</w:t>
            </w:r>
          </w:p>
        </w:tc>
        <w:tc>
          <w:tcPr>
            <w:tcW w:type="dxa" w:w="5083"/>
            <w:vAlign w:val="center"/>
          </w:tcPr>
          <w:p>
            <w:r>
              <w:rPr>
                <w:sz w:val="18"/>
              </w:rPr>
              <w:t>Call → selection → nomination → LA → Grant Agreement → mobility → Transcript → recognition.</w:t>
            </w:r>
          </w:p>
        </w:tc>
      </w:tr>
    </w:tbl>
    <w:p>
      <w:pPr>
        <w:spacing w:after="80"/>
      </w:pPr>
    </w:p>
    <w:p>
      <w:pPr>
        <w:spacing w:after="80"/>
        <w:jc w:val="center"/>
      </w:pPr>
      <w:r>
        <w:rPr>
          <w:b/>
          <w:color w:val="B40000"/>
        </w:rPr>
        <w:t>DELETE THIS ENTIRE PAGE BEFORE OFFICIAL USE</w:t>
      </w:r>
    </w:p>
    <w:sectPr w:rsidR="00FC693F" w:rsidRPr="0006063C" w:rsidSect="00034616">
      <w:headerReference w:type="default" r:id="rId9"/>
      <w:footerReference w:type="default" r:id="rId10"/>
      <w:pgSz w:w="12240" w:h="15840"/>
      <w:pgMar w:top="979" w:right="1037" w:bottom="936" w:left="1037" w:header="173"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6E6E6E"/>
        <w:sz w:val="16"/>
      </w:rPr>
      <w:t>Melius Academy | Erasmus+ Higher Education</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center"/>
    </w:pPr>
    <w:r>
      <w:drawing>
        <wp:inline xmlns:a="http://schemas.openxmlformats.org/drawingml/2006/main" xmlns:pic="http://schemas.openxmlformats.org/drawingml/2006/picture">
          <wp:extent cx="6537960" cy="745327"/>
          <wp:docPr id="1" name="Picture 1"/>
          <wp:cNvGraphicFramePr>
            <a:graphicFrameLocks noChangeAspect="1"/>
          </wp:cNvGraphicFramePr>
          <a:graphic>
            <a:graphicData uri="http://schemas.openxmlformats.org/drawingml/2006/picture">
              <pic:pic>
                <pic:nvPicPr>
                  <pic:cNvPr id="0" name="Melius_Erasmus_Header_FINAL.png"/>
                  <pic:cNvPicPr/>
                </pic:nvPicPr>
                <pic:blipFill>
                  <a:blip r:embed="rId3"/>
                  <a:stretch>
                    <a:fillRect/>
                  </a:stretch>
                </pic:blipFill>
                <pic:spPr>
                  <a:xfrm>
                    <a:off x="0" y="0"/>
                    <a:ext cx="6537960" cy="745327"/>
                  </a:xfrm>
                  <a:prstGeom prst="rect"/>
                </pic:spPr>
              </pic:pic>
            </a:graphicData>
          </a:graphic>
        </wp:inline>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pPr>
    <w:rPr>
      <w:rFonts w:ascii="Aptos" w:hAnsi="Aptos"/>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b/>
      <w:bCs/>
      <w:color w:val="122B38"/>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Display" w:hAnsi="Aptos Display"/>
      <w:b/>
      <w:bCs/>
      <w:color w:val="122B38"/>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Display" w:hAnsi="Aptos Display"/>
      <w:b/>
      <w:bCs/>
      <w:color w:val="122B38"/>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color w:val="122B38"/>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
    <w:name w:val="Article"/>
    <w:rPr>
      <w:rFonts w:ascii="Aptos" w:hAnsi="Aptos"/>
      <w:b/>
      <w:color w:val="122B38"/>
      <w:sz w:val="21"/>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