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"/>
        <w:jc w:val="center"/>
      </w:pPr>
      <w:r>
        <w:rPr>
          <w:color w:val="5A5A5A"/>
          <w:sz w:val="18"/>
        </w:rPr>
      </w:r>
    </w:p>
    <w:p>
      <w:pPr>
        <w:jc w:val="center"/>
      </w:pPr>
      <w:r>
        <w:t>Melius Academy, Belgrade</w:t>
      </w:r>
    </w:p>
    <w:p>
      <w:pPr>
        <w:jc w:val="center"/>
      </w:pPr>
      <w:r>
        <w:rPr>
          <w:b/>
          <w:color w:val="501214"/>
        </w:rPr>
        <w:t>Visoka škola akademskih studija „Melius Academy“ – Beograd</w:t>
      </w:r>
    </w:p>
    <w:p>
      <w:pPr>
        <w:spacing w:before="1800" w:after="80"/>
        <w:jc w:val="center"/>
      </w:pPr>
      <w:r>
        <w:rPr>
          <w:b/>
          <w:color w:val="122B38"/>
          <w:sz w:val="42"/>
        </w:rPr>
        <w:t>OPŠTI PRAVILNIK O ERASMUS+ MOBILNOSTI</w:t>
      </w:r>
    </w:p>
    <w:p>
      <w:pPr>
        <w:spacing w:after="80"/>
        <w:jc w:val="center"/>
      </w:pPr>
      <w:r>
        <w:rPr>
          <w:i/>
          <w:sz w:val="22"/>
        </w:rPr>
        <w:t>Institucionalni okvir za mobilnost studenata i osoblja</w:t>
      </w:r>
    </w:p>
    <w:p>
      <w:pPr>
        <w:spacing w:after="80"/>
        <w:jc w:val="center"/>
      </w:pPr>
      <w:r>
        <w:rPr>
          <w:color w:val="646464"/>
          <w:sz w:val="20"/>
        </w:rPr>
        <w:t>Melius Academy | Erasmus+ Higher Education</w:t>
      </w:r>
    </w:p>
    <w:p>
      <w:pPr>
        <w:spacing w:after="80"/>
      </w:pPr>
      <w:r>
        <w:br w:type="page"/>
      </w:r>
    </w:p>
    <w:p>
      <w:pPr>
        <w:pStyle w:val="Heading1"/>
        <w:spacing w:after="80"/>
      </w:pPr>
      <w:r>
        <w:t>Legenda skraćenica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</w:trPr>
        <w:tc>
          <w:tcPr>
            <w:tcW w:type="dxa" w:w="5083"/>
            <w:shd w:fill="E8F0F5"/>
          </w:tcPr>
          <w:p>
            <w:r>
              <w:rPr>
                <w:b/>
                <w:sz w:val="18"/>
              </w:rPr>
              <w:t>Skraćenica</w:t>
            </w:r>
          </w:p>
        </w:tc>
        <w:tc>
          <w:tcPr>
            <w:tcW w:type="dxa" w:w="5083"/>
            <w:shd w:fill="E8F0F5"/>
          </w:tcPr>
          <w:p>
            <w:r>
              <w:rPr>
                <w:b/>
                <w:sz w:val="18"/>
              </w:rPr>
              <w:t>Značenje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SMS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Student Mobility for Studies – mobilnost studenata radi studiranja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SMT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Student Mobility for Traineeships – mobilnost studenata radi stručne prakse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STA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Staff Mobility for Teaching – mobilnost osoblja radi držanja nastave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STT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Staff Mobility for Training – mobilnost osoblja radi obuke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BIP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Blended Intensive Programme – kombinovani intenzivni program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ECTS / ESPB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European Credit Transfer and Accumulation System / Evropski sistem prenosa bodova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LA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Learning Agreement – ugovor o učenju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MA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Mobility Agreement – ugovor o programu mobilnosti osoblja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IIA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Inter-Institutional Agreement – međuinstitucionalni sporazum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HEI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Higher Education Institution – visokoškolska ustanova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ECHE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Erasmus Charter for Higher Education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EWP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Erasmus Without Paper</w:t>
            </w:r>
          </w:p>
        </w:tc>
      </w:tr>
    </w:tbl>
    <w:p>
      <w:pPr>
        <w:spacing w:after="80"/>
      </w:pPr>
    </w:p>
    <w:p>
      <w:pPr>
        <w:pStyle w:val="Heading1"/>
        <w:spacing w:after="80"/>
      </w:pPr>
      <w:r>
        <w:t>I. OPŠTE ODREDBE</w:t>
      </w:r>
    </w:p>
    <w:p>
      <w:pPr>
        <w:pStyle w:val="Article"/>
        <w:spacing w:after="80"/>
      </w:pPr>
      <w:r>
        <w:t>Član 1. – Predmet</w:t>
      </w:r>
    </w:p>
    <w:p>
      <w:pPr>
        <w:spacing w:after="80"/>
      </w:pPr>
      <w:r>
        <w:t>Ovim Pravilnikom uređuje se institucionalni sistem planiranja, izbora, pripreme, realizacije, praćenja, priznavanja, izveštavanja i arhiviranja Erasmus+ mobilnosti koje Melius Academy sprovodi u oblasti visokog obrazovanja.</w:t>
      </w:r>
    </w:p>
    <w:p>
      <w:pPr>
        <w:spacing w:after="80"/>
      </w:pPr>
      <w:r>
        <w:t>Pravilnik obuhvata KA131-HED i KA171-HED mobilnosti studenata i osoblja, kao i Blended Intensive Programmes (BIP), uz primenu posebnih procedura Melius Academy za pojedine vrste mobilnosti.</w:t>
      </w:r>
    </w:p>
    <w:p>
      <w:pPr>
        <w:pStyle w:val="Article"/>
        <w:spacing w:after="80"/>
      </w:pPr>
      <w:r>
        <w:t>Član 2. – Vrste mobilnosti</w:t>
      </w:r>
    </w:p>
    <w:p>
      <w:pPr>
        <w:pStyle w:val="ListBullet"/>
        <w:spacing w:after="80"/>
      </w:pPr>
      <w:r>
        <w:t>Student Mobility for Studies (SMS)</w:t>
      </w:r>
    </w:p>
    <w:p>
      <w:pPr>
        <w:pStyle w:val="ListBullet"/>
        <w:spacing w:after="80"/>
      </w:pPr>
      <w:r>
        <w:t>Student Mobility for Traineeships (SMT)</w:t>
      </w:r>
    </w:p>
    <w:p>
      <w:pPr>
        <w:pStyle w:val="ListBullet"/>
        <w:spacing w:after="80"/>
      </w:pPr>
      <w:r>
        <w:t>Staff Mobility for Teaching (STA)</w:t>
      </w:r>
    </w:p>
    <w:p>
      <w:pPr>
        <w:pStyle w:val="ListBullet"/>
        <w:spacing w:after="80"/>
      </w:pPr>
      <w:r>
        <w:t>Staff Mobility for Training (STT)</w:t>
      </w:r>
    </w:p>
    <w:p>
      <w:pPr>
        <w:pStyle w:val="ListBullet"/>
        <w:spacing w:after="80"/>
      </w:pPr>
      <w:r>
        <w:t>Blended mobility i Blended Intensive Programmes (BIP)</w:t>
      </w:r>
    </w:p>
    <w:p>
      <w:pPr>
        <w:pStyle w:val="ListBullet"/>
        <w:spacing w:after="80"/>
      </w:pPr>
      <w:r>
        <w:t>Incoming i outgoing mobilnosti u okviru KA131-HED i KA171-HED</w:t>
      </w:r>
    </w:p>
    <w:p>
      <w:pPr>
        <w:pStyle w:val="Article"/>
        <w:spacing w:after="80"/>
      </w:pPr>
      <w:r>
        <w:t>Član 3. – Osnovna načela</w:t>
      </w:r>
    </w:p>
    <w:p>
      <w:pPr>
        <w:pStyle w:val="ListBullet"/>
        <w:spacing w:after="80"/>
      </w:pPr>
      <w:r>
        <w:t>transparentnost i jednak tretman</w:t>
      </w:r>
    </w:p>
    <w:p>
      <w:pPr>
        <w:pStyle w:val="ListBullet"/>
        <w:spacing w:after="80"/>
      </w:pPr>
      <w:r>
        <w:t>inkluzija i podrška učesnicima sa smanjenim mogućnostima</w:t>
      </w:r>
    </w:p>
    <w:p>
      <w:pPr>
        <w:pStyle w:val="ListBullet"/>
        <w:spacing w:after="80"/>
      </w:pPr>
      <w:r>
        <w:t>akademski kvalitet i prethodno odobren program mobilnosti</w:t>
      </w:r>
    </w:p>
    <w:p>
      <w:pPr>
        <w:pStyle w:val="ListBullet"/>
        <w:spacing w:after="80"/>
      </w:pPr>
      <w:r>
        <w:t>potpuno i automatsko priznavanje uspešno realizovanih akademskih komponenti</w:t>
      </w:r>
    </w:p>
    <w:p>
      <w:pPr>
        <w:pStyle w:val="ListBullet"/>
        <w:spacing w:after="80"/>
      </w:pPr>
      <w:r>
        <w:t>digitalizacija postupka, uključujući EWP/Digital Learning Agreement gde je primenljivo</w:t>
      </w:r>
    </w:p>
    <w:p>
      <w:pPr>
        <w:pStyle w:val="ListBullet"/>
        <w:spacing w:after="80"/>
      </w:pPr>
      <w:r>
        <w:t>zaštita ličnih podataka</w:t>
      </w:r>
    </w:p>
    <w:p>
      <w:pPr>
        <w:pStyle w:val="ListBullet"/>
        <w:spacing w:after="80"/>
      </w:pPr>
      <w:r>
        <w:t>održivo putovanje i odgovorno korišćenje sredstava</w:t>
      </w:r>
    </w:p>
    <w:p>
      <w:pPr>
        <w:pStyle w:val="ListBullet"/>
        <w:spacing w:after="80"/>
      </w:pPr>
      <w:r>
        <w:t>jasna podela odgovornosti</w:t>
      </w:r>
    </w:p>
    <w:p>
      <w:pPr>
        <w:pStyle w:val="Heading1"/>
        <w:spacing w:after="80"/>
      </w:pPr>
      <w:r>
        <w:t>II. NADLEŽNOSTI</w:t>
      </w:r>
    </w:p>
    <w:p>
      <w:pPr>
        <w:pStyle w:val="Article"/>
        <w:spacing w:after="80"/>
      </w:pPr>
      <w:r>
        <w:t>Član 4. – Erasmus koordinator</w:t>
      </w:r>
    </w:p>
    <w:p>
      <w:pPr>
        <w:pStyle w:val="ListBullet"/>
        <w:spacing w:after="80"/>
      </w:pPr>
      <w:r>
        <w:t>vodi institucionalnu evidenciju mobilnosti</w:t>
      </w:r>
    </w:p>
    <w:p>
      <w:pPr>
        <w:pStyle w:val="ListBullet"/>
        <w:spacing w:after="80"/>
      </w:pPr>
      <w:r>
        <w:t>proverava projektni i partnerski osnov</w:t>
      </w:r>
    </w:p>
    <w:p>
      <w:pPr>
        <w:pStyle w:val="ListBullet"/>
        <w:spacing w:after="80"/>
      </w:pPr>
      <w:r>
        <w:t>koordinira konkurse, nominacije i prijave</w:t>
      </w:r>
    </w:p>
    <w:p>
      <w:pPr>
        <w:pStyle w:val="ListBullet"/>
        <w:spacing w:after="80"/>
      </w:pPr>
      <w:r>
        <w:t>koordinira Learning/Mobility Agreements i Grant Agreements</w:t>
      </w:r>
    </w:p>
    <w:p>
      <w:pPr>
        <w:pStyle w:val="ListBullet"/>
        <w:spacing w:after="80"/>
      </w:pPr>
      <w:r>
        <w:t>prati rokove i dokumentaciju</w:t>
      </w:r>
    </w:p>
    <w:p>
      <w:pPr>
        <w:pStyle w:val="ListBullet"/>
        <w:spacing w:after="80"/>
      </w:pPr>
      <w:r>
        <w:t>koordinira završne dokumente i izveštavanje</w:t>
      </w:r>
    </w:p>
    <w:p>
      <w:pPr>
        <w:pStyle w:val="Article"/>
        <w:spacing w:after="80"/>
      </w:pPr>
      <w:r>
        <w:t>Član 5. – Odsek/studijski program</w:t>
      </w:r>
    </w:p>
    <w:p>
      <w:pPr>
        <w:pStyle w:val="ListBullet"/>
        <w:spacing w:after="80"/>
      </w:pPr>
      <w:r>
        <w:t>procenjuje akademsku podobnost predmeta i aktivnosti</w:t>
      </w:r>
    </w:p>
    <w:p>
      <w:pPr>
        <w:pStyle w:val="ListBullet"/>
        <w:spacing w:after="80"/>
      </w:pPr>
      <w:r>
        <w:t>odoborava Learning Agreement u akademskom delu</w:t>
      </w:r>
    </w:p>
    <w:p>
      <w:pPr>
        <w:pStyle w:val="ListBullet"/>
        <w:spacing w:after="80"/>
      </w:pPr>
      <w:r>
        <w:t>odlučuje o akademskom priznavanju u skladu sa unapred odobrenim planom</w:t>
      </w:r>
    </w:p>
    <w:p>
      <w:pPr>
        <w:pStyle w:val="ListBullet"/>
        <w:spacing w:after="80"/>
      </w:pPr>
      <w:r>
        <w:t>obezbeđuje akademsku podršku incoming studentima</w:t>
      </w:r>
    </w:p>
    <w:p>
      <w:pPr>
        <w:pStyle w:val="Article"/>
        <w:spacing w:after="80"/>
      </w:pPr>
      <w:r>
        <w:t>Član 6. – Komisija za mobilnost</w:t>
      </w:r>
    </w:p>
    <w:p>
      <w:pPr>
        <w:pStyle w:val="ListBullet"/>
        <w:spacing w:after="80"/>
      </w:pPr>
      <w:r>
        <w:t>vrši izbor kada je konkurs predviđen</w:t>
      </w:r>
    </w:p>
    <w:p>
      <w:pPr>
        <w:pStyle w:val="ListBullet"/>
        <w:spacing w:after="80"/>
      </w:pPr>
      <w:r>
        <w:t>primenjuje unapred objavljene kriterijume</w:t>
      </w:r>
    </w:p>
    <w:p>
      <w:pPr>
        <w:pStyle w:val="ListBullet"/>
        <w:spacing w:after="80"/>
      </w:pPr>
      <w:r>
        <w:t>sačinjava rang-listu i zapisnik</w:t>
      </w:r>
    </w:p>
    <w:p>
      <w:pPr>
        <w:pStyle w:val="ListBullet"/>
        <w:spacing w:after="80"/>
      </w:pPr>
      <w:r>
        <w:t>postupa u skladu sa procedurom prigovora</w:t>
      </w:r>
    </w:p>
    <w:p>
      <w:pPr>
        <w:pStyle w:val="Article"/>
        <w:spacing w:after="80"/>
      </w:pPr>
      <w:r>
        <w:t>Član 7. – Studentska i finansijska služba</w:t>
      </w:r>
    </w:p>
    <w:p>
      <w:pPr>
        <w:pStyle w:val="ListBullet"/>
        <w:spacing w:after="80"/>
      </w:pPr>
      <w:r>
        <w:t>studentska služba evidentira status i priznate rezultate</w:t>
      </w:r>
    </w:p>
    <w:p>
      <w:pPr>
        <w:pStyle w:val="ListBullet"/>
        <w:spacing w:after="80"/>
      </w:pPr>
      <w:r>
        <w:t>finansijska služba sprovodi isplate i finansijsku evidenciju prema Grant Agreement-u i projektu</w:t>
      </w:r>
    </w:p>
    <w:p>
      <w:pPr>
        <w:pStyle w:val="Heading1"/>
        <w:spacing w:after="80"/>
      </w:pPr>
      <w:r>
        <w:t>III. STANDARDNI ŽIVOTNI CIKLUS MOBILNOSTI</w:t>
      </w:r>
    </w:p>
    <w:p>
      <w:pPr>
        <w:pStyle w:val="Heading3"/>
        <w:spacing w:after="80"/>
      </w:pPr>
      <w:r>
        <w:t>Institucionalni tok</w:t>
      </w:r>
    </w:p>
    <w:p>
      <w:pPr>
        <w:spacing w:after="80"/>
      </w:pPr>
      <w:r>
        <w:rPr>
          <w:b/>
        </w:rPr>
        <w:t xml:space="preserve">Korak 1. </w:t>
      </w:r>
      <w:r>
        <w:t>Planiranje mobilnosti i provera projekta/partnerstva.</w:t>
      </w:r>
    </w:p>
    <w:p>
      <w:pPr>
        <w:spacing w:after="80"/>
      </w:pPr>
      <w:r>
        <w:rPr>
          <w:b/>
        </w:rPr>
        <w:t xml:space="preserve">Korak 2. </w:t>
      </w:r>
      <w:r>
        <w:t>Objavljivanje konkursa ili prijem nominacije.</w:t>
      </w:r>
    </w:p>
    <w:p>
      <w:pPr>
        <w:spacing w:after="80"/>
      </w:pPr>
      <w:r>
        <w:rPr>
          <w:b/>
        </w:rPr>
        <w:t xml:space="preserve">Korak 3. </w:t>
      </w:r>
      <w:r>
        <w:t>Provera prihvatljivosti kandidata.</w:t>
      </w:r>
    </w:p>
    <w:p>
      <w:pPr>
        <w:spacing w:after="80"/>
      </w:pPr>
      <w:r>
        <w:rPr>
          <w:b/>
        </w:rPr>
        <w:t xml:space="preserve">Korak 4. </w:t>
      </w:r>
      <w:r>
        <w:t>Izbor/nominacija/prihvatanje.</w:t>
      </w:r>
    </w:p>
    <w:p>
      <w:pPr>
        <w:spacing w:after="80"/>
      </w:pPr>
      <w:r>
        <w:rPr>
          <w:b/>
        </w:rPr>
        <w:t xml:space="preserve">Korak 5. </w:t>
      </w:r>
      <w:r>
        <w:t>Akademsko planiranje i Learning/Mobility Agreement.</w:t>
      </w:r>
    </w:p>
    <w:p>
      <w:pPr>
        <w:spacing w:after="80"/>
      </w:pPr>
      <w:r>
        <w:rPr>
          <w:b/>
        </w:rPr>
        <w:t xml:space="preserve">Korak 6. </w:t>
      </w:r>
      <w:r>
        <w:t>Finansijska i administrativna priprema.</w:t>
      </w:r>
    </w:p>
    <w:p>
      <w:pPr>
        <w:spacing w:after="80"/>
      </w:pPr>
      <w:r>
        <w:rPr>
          <w:b/>
        </w:rPr>
        <w:t xml:space="preserve">Korak 7. </w:t>
      </w:r>
      <w:r>
        <w:t>Realizacija i praćenje.</w:t>
      </w:r>
    </w:p>
    <w:p>
      <w:pPr>
        <w:spacing w:after="80"/>
      </w:pPr>
      <w:r>
        <w:rPr>
          <w:b/>
        </w:rPr>
        <w:t xml:space="preserve">Korak 8. </w:t>
      </w:r>
      <w:r>
        <w:t>Izmene, ako su opravdane.</w:t>
      </w:r>
    </w:p>
    <w:p>
      <w:pPr>
        <w:spacing w:after="80"/>
      </w:pPr>
      <w:r>
        <w:rPr>
          <w:b/>
        </w:rPr>
        <w:t xml:space="preserve">Korak 9. </w:t>
      </w:r>
      <w:r>
        <w:t>Završna dokumentacija.</w:t>
      </w:r>
    </w:p>
    <w:p>
      <w:pPr>
        <w:spacing w:after="80"/>
      </w:pPr>
      <w:r>
        <w:rPr>
          <w:b/>
        </w:rPr>
        <w:t xml:space="preserve">Korak 10. </w:t>
      </w:r>
      <w:r>
        <w:t>Akademsko priznavanje i evidencija.</w:t>
      </w:r>
    </w:p>
    <w:p>
      <w:pPr>
        <w:spacing w:after="80"/>
      </w:pPr>
      <w:r>
        <w:rPr>
          <w:b/>
        </w:rPr>
        <w:t xml:space="preserve">Korak 11. </w:t>
      </w:r>
      <w:r>
        <w:t>Participant Report/izveštavanje.</w:t>
      </w:r>
    </w:p>
    <w:p>
      <w:pPr>
        <w:spacing w:after="80"/>
      </w:pPr>
      <w:r>
        <w:rPr>
          <w:b/>
        </w:rPr>
        <w:t xml:space="preserve">Korak 12. </w:t>
      </w:r>
      <w:r>
        <w:t>Arhiviranje i kontrola kvaliteta.</w:t>
      </w:r>
    </w:p>
    <w:p>
      <w:pPr>
        <w:pStyle w:val="Heading1"/>
        <w:spacing w:after="80"/>
      </w:pPr>
      <w:r>
        <w:t>IV. ZAJEDNIČKA PRAVILA</w:t>
      </w:r>
    </w:p>
    <w:p>
      <w:pPr>
        <w:pStyle w:val="Article"/>
        <w:spacing w:after="80"/>
      </w:pPr>
      <w:r>
        <w:t>Član 8. – Jezik i informisanje</w:t>
      </w:r>
    </w:p>
    <w:p>
      <w:pPr>
        <w:spacing w:after="80"/>
      </w:pPr>
      <w:r>
        <w:t>Incoming studenti moraju pre potvrde mobilnosti dobiti jasnu informaciju o jeziku izvođenja nastave. Ako se redovna nastava izvodi na srpskom jeziku, ta činjenica mora biti transparentno navedena u Course Catalogue-u i komunikaciji sa studentom i sending ustanovom.</w:t>
      </w:r>
    </w:p>
    <w:p>
      <w:pPr>
        <w:pStyle w:val="Article"/>
        <w:spacing w:after="80"/>
      </w:pPr>
      <w:r>
        <w:t>Član 9. – Akademsko priznavanje</w:t>
      </w:r>
    </w:p>
    <w:p>
      <w:pPr>
        <w:spacing w:after="80"/>
      </w:pPr>
      <w:r>
        <w:t>Uspešno završene aktivnosti koje su prethodno odobrene u Learning Agreement-u priznaju se bez dodatnih akademskih zahteva samo radi priznavanja. Detaljan postupak uređuje posebna Procedura akademskog priznavanja Erasmus+ mobilnosti.</w:t>
      </w:r>
    </w:p>
    <w:p>
      <w:pPr>
        <w:pStyle w:val="Article"/>
        <w:spacing w:after="80"/>
      </w:pPr>
      <w:r>
        <w:t>Član 10. – Traineeship – institucionalni minimum ESPB</w:t>
      </w:r>
    </w:p>
    <w:p>
      <w:pPr>
        <w:spacing w:after="80"/>
      </w:pPr>
      <w:r>
        <w:t>Za stručnu praksu koja se akademski priznaje u okviru studijskog programa Melius Academy primenjuje se interni minimum od 3 ESPB. Konačnu odluku o broju ESPB i načinu priznavanja donosi ESPB/ECTS koordinator na osnovu Learning Agreement-a, ishoda učenja, obima aktivnosti i važećeg studijskog programa. Ovo je interni akademski standard ustanove, a ne opšti Erasmus+ minimum za sve stručne prakse.</w:t>
      </w:r>
    </w:p>
    <w:p>
      <w:pPr>
        <w:pStyle w:val="Article"/>
        <w:spacing w:after="80"/>
      </w:pPr>
      <w:r>
        <w:t>Član 11. – BIP</w:t>
      </w:r>
    </w:p>
    <w:p>
      <w:pPr>
        <w:spacing w:after="80"/>
      </w:pPr>
      <w:r>
        <w:t>BIP mora uključiti obaveznu virtuelnu komponentu i fizičku komponentu mobilnosti u trajanju od 5 do 30 dana. Student za uspešno završen BIP ostvaruje najmanje 3 ECTS/ESPB.</w:t>
      </w:r>
    </w:p>
    <w:p>
      <w:pPr>
        <w:pStyle w:val="Article"/>
        <w:spacing w:after="80"/>
      </w:pPr>
      <w:r>
        <w:t>Član 12. – Finansiranje</w:t>
      </w:r>
    </w:p>
    <w:p>
      <w:pPr>
        <w:spacing w:after="80"/>
      </w:pPr>
      <w:r>
        <w:t>Iznosi individualne, putne, inclusion i druge podrške određuju se prema važećem Erasmus+ projektu i pravilima konkretnog poziva. U dokumentima Melius Academy ne garantuje se grant pre potpisivanja individualnog Grant Agreement-a.</w:t>
      </w:r>
    </w:p>
    <w:p>
      <w:pPr>
        <w:pStyle w:val="Article"/>
        <w:spacing w:after="80"/>
      </w:pPr>
      <w:r>
        <w:t>Član 13. – Zaštita podataka i arhiviranje</w:t>
      </w:r>
    </w:p>
    <w:p>
      <w:pPr>
        <w:spacing w:after="80"/>
      </w:pPr>
      <w:r>
        <w:t>Dokumentacija se obrađuje samo u meri potrebnoj za sprovođenje mobilnosti, finansiranje, izveštavanje i akademsko priznavanje. Rok čuvanja određuje se prema ugovoru o dodeli sredstava, nacionalnim pravilima i internim propisima Melius Academy.</w:t>
      </w:r>
    </w:p>
    <w:p>
      <w:pPr>
        <w:pStyle w:val="Heading1"/>
        <w:spacing w:after="80"/>
      </w:pPr>
      <w:r>
        <w:t>Programski izvori</w:t>
      </w:r>
    </w:p>
    <w:p>
      <w:pPr>
        <w:pStyle w:val="ListBullet"/>
        <w:spacing w:after="80"/>
      </w:pPr>
      <w:r>
        <w:t>Erasmus+ Programme Guide 2026 – Mobility projects for higher education students and staff (KA131-HED / KA171-HED).</w:t>
      </w:r>
    </w:p>
    <w:p>
      <w:pPr>
        <w:pStyle w:val="ListBullet"/>
        <w:spacing w:after="80"/>
      </w:pPr>
      <w:r>
        <w:t>Erasmus Charter for Higher Education (ECHE) 2021–2027 i ECHE quality principles.</w:t>
      </w:r>
    </w:p>
    <w:p>
      <w:pPr>
        <w:pStyle w:val="ListBullet"/>
        <w:spacing w:after="80"/>
      </w:pPr>
      <w:r>
        <w:t>Erasmus+ Student Charter.</w:t>
      </w:r>
    </w:p>
    <w:p>
      <w:pPr>
        <w:pStyle w:val="ListBullet"/>
        <w:spacing w:after="80"/>
      </w:pPr>
      <w:r>
        <w:t>Važeći Learning Agreement obrasci i smernice za Studies i Traineeships (KA131/KA171).</w:t>
      </w:r>
    </w:p>
    <w:p>
      <w:pPr>
        <w:pStyle w:val="ListBullet"/>
        <w:spacing w:after="80"/>
      </w:pPr>
      <w:r>
        <w:t>Važeći Mobility Agreement obrasci za Staff Mobility for Teaching i Staff Mobility for Training.</w:t>
      </w:r>
    </w:p>
    <w:p>
      <w:pPr>
        <w:pStyle w:val="ListBullet"/>
        <w:spacing w:after="80"/>
      </w:pPr>
      <w:r>
        <w:t>Važeći Grant Agreement, Beneficiary Module pravila i nacionalna pravila Fondacije Tempus za konkretnu projektnu godinu.</w:t>
      </w:r>
    </w:p>
    <w:p>
      <w:pPr>
        <w:spacing w:after="80"/>
      </w:pPr>
      <w:r>
        <w:t>Promenljivi iznosi grantova, top-up podrške i putnih troškova ne utvrđuju se ovim dokumentom, već se primenjuju prema važećem projektu i pravilima za konkretnu godinu poziva.</w:t>
      </w:r>
    </w:p>
    <w:p>
      <w:pPr>
        <w:spacing w:after="80"/>
      </w:pPr>
      <w:r>
        <w:br w:type="page"/>
      </w:r>
    </w:p>
    <w:p>
      <w:pPr>
        <w:spacing w:after="80"/>
      </w:pPr>
      <w:r>
        <w:t>Ovaj dokument se primenjuje zajedno sa važećim Erasmus+ Programme Guide 2026, ECHE principima, odgovarajućim Learning Agreement/Mobility Agreement obrascima, Grant Agreement-om konkretnog projekta i pravilima nadležne Nacionalne agencije. Ako se programsko pravilo promeni, primenjuje se važeće pravilo za godinu poziva/projekta.</w:t>
      </w:r>
    </w:p>
    <w:p>
      <w:pPr>
        <w:pStyle w:val="Heading1"/>
        <w:spacing w:after="80"/>
      </w:pPr>
      <w:r>
        <w:t>Programski osnov i važenje pravila</w:t>
      </w:r>
    </w:p>
    <w:p>
      <w:pPr/>
      <w:r>
        <w:t>Institucionalni kontinuitet Melius Academy potiče od Akademije za poslovnu ekonomiju u Čačku. Ustanova je poslovala pod tim nazivom i imala dozvolu za rad još od 2009. godine. Tokom 2026. sprovedena je promena sedišta i naziva: u maju 2026. javno je najavljena promena sedišta iz Čačka u Beograd i novi naziv „Melius Academy“, u julu 2026. objavljeno je rešenje o promeni naziva i sedišta, a zatim i nova dozvola za rad Ministarstva prosvete za Visoku školu akademskih studija „Melius Academy“ sa sedištem u Beogradu. Ova promena predstavlja nastavak rada iste visokoškolske ustanove pod novim identitetom i na novom sedištu, a ne osnivanje potpuno nove ustanove.</w:t>
      </w:r>
    </w:p>
    <w:p>
      <w:pPr/>
      <w:r>
        <w:t>Visoka škola akademskih studija „Melius Academy“ je visokoškolska ustanova akademskih studija sa sedištem u Beogradu, Trešnjin cvet 11. U Erasmus+ dokumentaciji ustanova koristi naziv Melius Academy. Redovna nastava se izvodi na srpskom jeziku. Za dolazne Erasmus+ studente moguće je, uz prethodni dogovor sa Erasmus+/međunarodnim koordinatorom, nadležnim nastavnikom i odgovarajućom organizacionom jedinicom, organizovati podršku na engleskom jeziku, uključujući pojašnjenja, odabrane materijale na engleskom ili prevodilačku/jezičku podršku kada je to akademski i organizaciono izvodljivo. Takva podrška nije automatski garantovana za svaki predmet i treba da bude dogovorena pre konačnog odobravanja Learning Agreement-a.</w:t>
      </w:r>
    </w:p>
    <w:p>
      <w:pPr>
        <w:pStyle w:val="Heading1"/>
      </w:pPr>
      <w:r>
        <w:t>Institucionalni profil i kontinuitet</w:t>
      </w:r>
    </w:p>
    <w:p>
      <w:pPr/>
      <w:r>
        <w:t>Za stručnu praksu koja se akademski priznaje u okviru studijskog programa Melius Academy primenjuje se interni minimum od 3 ESPB. Konačnu odluku o broju ESPB i načinu priznavanja donosi ESPB/ECTS koordinator na osnovu Learning Agreement-a, ishoda učenja, obima aktivnosti i važećeg studijskog programa. Ovo je interni akademski standard ustanove, a ne opšti Erasmus+ minimum za sve stručne prakse.</w:t>
      </w:r>
    </w:p>
    <w:p>
      <w:pPr>
        <w:pStyle w:val="Heading1"/>
      </w:pPr>
      <w:r>
        <w:t>ESPB/ECTS priznavanje stručne prakse</w:t>
      </w:r>
    </w:p>
    <w:p>
      <w:pPr>
        <w:spacing w:after="80"/>
        <w:jc w:val="center"/>
      </w:pPr>
      <w:r>
        <w:rPr>
          <w:b/>
          <w:color w:val="B4B4B4"/>
          <w:sz w:val="60"/>
        </w:rPr>
        <w:t>PRIMER / EXAMPLE</w:t>
      </w:r>
    </w:p>
    <w:p>
      <w:pPr>
        <w:spacing w:after="80"/>
        <w:jc w:val="center"/>
      </w:pPr>
      <w:r>
        <w:rPr>
          <w:b/>
          <w:color w:val="B40000"/>
          <w:sz w:val="26"/>
        </w:rPr>
        <w:t>OBRISATI CELU OVU STRANICU PRE ZVANIČNE UPOTREBE</w:t>
      </w:r>
    </w:p>
    <w:p>
      <w:pPr>
        <w:pStyle w:val="Heading2"/>
        <w:spacing w:after="80"/>
      </w:pPr>
      <w:r>
        <w:t>Primer primene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</w:trPr>
        <w:tc>
          <w:tcPr>
            <w:tcW w:type="dxa" w:w="5083"/>
            <w:shd w:fill="E8F0F5"/>
          </w:tcPr>
          <w:p>
            <w:r>
              <w:rPr>
                <w:b/>
                <w:sz w:val="18"/>
              </w:rPr>
              <w:t>Polje</w:t>
            </w:r>
          </w:p>
        </w:tc>
        <w:tc>
          <w:tcPr>
            <w:tcW w:type="dxa" w:w="5083"/>
            <w:shd w:fill="E8F0F5"/>
          </w:tcPr>
          <w:p>
            <w:r>
              <w:rPr>
                <w:b/>
                <w:sz w:val="18"/>
              </w:rPr>
              <w:t>Popunjen primer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Primer situacije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Studentkinja Ana Petrović odlazi na KA131-HED studiranje u partnersku HEI u Španiji.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Primena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Konkurs → selekcija → nominacija → Learning Agreement → Grant Agreement → mobilnost → Transcript → priznavanje.</w:t>
            </w:r>
          </w:p>
        </w:tc>
      </w:tr>
    </w:tbl>
    <w:p>
      <w:pPr>
        <w:spacing w:after="80"/>
      </w:pPr>
    </w:p>
    <w:p>
      <w:pPr>
        <w:spacing w:after="80"/>
        <w:jc w:val="center"/>
      </w:pPr>
      <w:r>
        <w:rPr>
          <w:b/>
          <w:color w:val="B40000"/>
        </w:rPr>
        <w:t>OBRISATI CELU OVU STRANICU PRE ZVANIČNE UPOTREBE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79" w:right="1037" w:bottom="936" w:left="1037" w:header="173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E6E6E"/>
        <w:sz w:val="16"/>
      </w:rPr>
      <w:t>Melius Academy | Erasmus+ Higher Education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center"/>
    </w:pPr>
    <w:r>
      <w:drawing>
        <wp:inline xmlns:a="http://schemas.openxmlformats.org/drawingml/2006/main" xmlns:pic="http://schemas.openxmlformats.org/drawingml/2006/picture">
          <wp:extent cx="6537960" cy="745327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Melius_Erasmus_Header_FINAL.png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537960" cy="745327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122B3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22B38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Article">
    <w:name w:val="Article"/>
    <w:rPr>
      <w:rFonts w:ascii="Aptos" w:hAnsi="Aptos"/>
      <w:b/>
      <w:color w:val="122B38"/>
      <w:sz w:val="21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