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80"/>
        <w:jc w:val="center"/>
      </w:pPr>
      <w:r>
        <w:rPr>
          <w:color w:val="5A5A5A"/>
          <w:sz w:val="18"/>
        </w:rPr>
      </w:r>
    </w:p>
    <w:p>
      <w:pPr>
        <w:jc w:val="center"/>
      </w:pPr>
      <w:r>
        <w:t>Melius Academy, Belgrade</w:t>
      </w:r>
    </w:p>
    <w:p>
      <w:pPr>
        <w:jc w:val="center"/>
      </w:pPr>
      <w:r>
        <w:rPr>
          <w:b/>
          <w:color w:val="501214"/>
        </w:rPr>
        <w:t>Visoka škola akademskih studija „Melius Academy“ – Beograd</w:t>
      </w:r>
    </w:p>
    <w:p>
      <w:pPr>
        <w:spacing w:before="1800" w:after="80"/>
        <w:jc w:val="center"/>
      </w:pPr>
      <w:r>
        <w:rPr>
          <w:b/>
          <w:color w:val="122B38"/>
          <w:sz w:val="42"/>
        </w:rPr>
        <w:t>KA131-HED – STUDENT MOBILITY</w:t>
      </w:r>
    </w:p>
    <w:p>
      <w:pPr>
        <w:spacing w:after="80"/>
        <w:jc w:val="center"/>
      </w:pPr>
      <w:r>
        <w:rPr>
          <w:i/>
          <w:sz w:val="22"/>
        </w:rPr>
        <w:t>Outgoing and incoming studies, traineeships and BIP</w:t>
      </w:r>
    </w:p>
    <w:p>
      <w:pPr>
        <w:spacing w:after="80"/>
        <w:jc w:val="center"/>
      </w:pPr>
      <w:r>
        <w:rPr>
          <w:color w:val="646464"/>
          <w:sz w:val="20"/>
        </w:rPr>
        <w:t>Melius Academy | Erasmus+ Higher Education</w:t>
      </w:r>
    </w:p>
    <w:p>
      <w:pPr>
        <w:spacing w:after="80"/>
      </w:pPr>
      <w:r>
        <w:br w:type="page"/>
      </w:r>
    </w:p>
    <w:p>
      <w:pPr>
        <w:pStyle w:val="Heading1"/>
        <w:spacing w:after="80"/>
      </w:pPr>
      <w:r>
        <w:t>Legend of abbreviations</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shd w:fill="E8F0F5"/>
          </w:tcPr>
          <w:p>
            <w:r>
              <w:rPr>
                <w:b/>
                <w:sz w:val="18"/>
              </w:rPr>
              <w:t>Abbreviation</w:t>
            </w:r>
          </w:p>
        </w:tc>
        <w:tc>
          <w:tcPr>
            <w:tcW w:type="dxa" w:w="5083"/>
            <w:shd w:fill="E8F0F5"/>
          </w:tcPr>
          <w:p>
            <w:r>
              <w:rPr>
                <w:b/>
                <w:sz w:val="18"/>
              </w:rPr>
              <w:t>Meaning</w:t>
            </w:r>
          </w:p>
        </w:tc>
      </w:tr>
      <w:tr>
        <w:tc>
          <w:tcPr>
            <w:tcW w:type="dxa" w:w="5083"/>
            <w:vAlign w:val="center"/>
          </w:tcPr>
          <w:p>
            <w:r>
              <w:rPr>
                <w:sz w:val="18"/>
              </w:rPr>
              <w:t>SMS</w:t>
            </w:r>
          </w:p>
        </w:tc>
        <w:tc>
          <w:tcPr>
            <w:tcW w:type="dxa" w:w="5083"/>
            <w:vAlign w:val="center"/>
          </w:tcPr>
          <w:p>
            <w:r>
              <w:rPr>
                <w:sz w:val="18"/>
              </w:rPr>
              <w:t>Student Mobility for Studies</w:t>
            </w:r>
          </w:p>
        </w:tc>
      </w:tr>
      <w:tr>
        <w:tc>
          <w:tcPr>
            <w:tcW w:type="dxa" w:w="5083"/>
            <w:vAlign w:val="center"/>
          </w:tcPr>
          <w:p>
            <w:r>
              <w:rPr>
                <w:sz w:val="18"/>
              </w:rPr>
              <w:t>SMT</w:t>
            </w:r>
          </w:p>
        </w:tc>
        <w:tc>
          <w:tcPr>
            <w:tcW w:type="dxa" w:w="5083"/>
            <w:vAlign w:val="center"/>
          </w:tcPr>
          <w:p>
            <w:r>
              <w:rPr>
                <w:sz w:val="18"/>
              </w:rPr>
              <w:t>Student Mobility for Traineeships</w:t>
            </w:r>
          </w:p>
        </w:tc>
      </w:tr>
      <w:tr>
        <w:tc>
          <w:tcPr>
            <w:tcW w:type="dxa" w:w="5083"/>
            <w:vAlign w:val="center"/>
          </w:tcPr>
          <w:p>
            <w:r>
              <w:rPr>
                <w:sz w:val="18"/>
              </w:rPr>
              <w:t>STA</w:t>
            </w:r>
          </w:p>
        </w:tc>
        <w:tc>
          <w:tcPr>
            <w:tcW w:type="dxa" w:w="5083"/>
            <w:vAlign w:val="center"/>
          </w:tcPr>
          <w:p>
            <w:r>
              <w:rPr>
                <w:sz w:val="18"/>
              </w:rPr>
              <w:t>Staff Mobility for Teaching</w:t>
            </w:r>
          </w:p>
        </w:tc>
      </w:tr>
      <w:tr>
        <w:tc>
          <w:tcPr>
            <w:tcW w:type="dxa" w:w="5083"/>
            <w:vAlign w:val="center"/>
          </w:tcPr>
          <w:p>
            <w:r>
              <w:rPr>
                <w:sz w:val="18"/>
              </w:rPr>
              <w:t>STT</w:t>
            </w:r>
          </w:p>
        </w:tc>
        <w:tc>
          <w:tcPr>
            <w:tcW w:type="dxa" w:w="5083"/>
            <w:vAlign w:val="center"/>
          </w:tcPr>
          <w:p>
            <w:r>
              <w:rPr>
                <w:sz w:val="18"/>
              </w:rPr>
              <w:t>Staff Mobility for Training</w:t>
            </w:r>
          </w:p>
        </w:tc>
      </w:tr>
      <w:tr>
        <w:tc>
          <w:tcPr>
            <w:tcW w:type="dxa" w:w="5083"/>
            <w:vAlign w:val="center"/>
          </w:tcPr>
          <w:p>
            <w:r>
              <w:rPr>
                <w:sz w:val="18"/>
              </w:rPr>
              <w:t>BIP</w:t>
            </w:r>
          </w:p>
        </w:tc>
        <w:tc>
          <w:tcPr>
            <w:tcW w:type="dxa" w:w="5083"/>
            <w:vAlign w:val="center"/>
          </w:tcPr>
          <w:p>
            <w:r>
              <w:rPr>
                <w:sz w:val="18"/>
              </w:rPr>
              <w:t>Blended Intensive Programme</w:t>
            </w:r>
          </w:p>
        </w:tc>
      </w:tr>
      <w:tr>
        <w:tc>
          <w:tcPr>
            <w:tcW w:type="dxa" w:w="5083"/>
            <w:vAlign w:val="center"/>
          </w:tcPr>
          <w:p>
            <w:r>
              <w:rPr>
                <w:sz w:val="18"/>
              </w:rPr>
              <w:t>ECTS</w:t>
            </w:r>
          </w:p>
        </w:tc>
        <w:tc>
          <w:tcPr>
            <w:tcW w:type="dxa" w:w="5083"/>
            <w:vAlign w:val="center"/>
          </w:tcPr>
          <w:p>
            <w:r>
              <w:rPr>
                <w:sz w:val="18"/>
              </w:rPr>
              <w:t>European Credit Transfer and Accumulation System</w:t>
            </w:r>
          </w:p>
        </w:tc>
      </w:tr>
      <w:tr>
        <w:tc>
          <w:tcPr>
            <w:tcW w:type="dxa" w:w="5083"/>
            <w:vAlign w:val="center"/>
          </w:tcPr>
          <w:p>
            <w:r>
              <w:rPr>
                <w:sz w:val="18"/>
              </w:rPr>
              <w:t>LA</w:t>
            </w:r>
          </w:p>
        </w:tc>
        <w:tc>
          <w:tcPr>
            <w:tcW w:type="dxa" w:w="5083"/>
            <w:vAlign w:val="center"/>
          </w:tcPr>
          <w:p>
            <w:r>
              <w:rPr>
                <w:sz w:val="18"/>
              </w:rPr>
              <w:t>Learning Agreement</w:t>
            </w:r>
          </w:p>
        </w:tc>
      </w:tr>
      <w:tr>
        <w:tc>
          <w:tcPr>
            <w:tcW w:type="dxa" w:w="5083"/>
            <w:vAlign w:val="center"/>
          </w:tcPr>
          <w:p>
            <w:r>
              <w:rPr>
                <w:sz w:val="18"/>
              </w:rPr>
              <w:t>MA</w:t>
            </w:r>
          </w:p>
        </w:tc>
        <w:tc>
          <w:tcPr>
            <w:tcW w:type="dxa" w:w="5083"/>
            <w:vAlign w:val="center"/>
          </w:tcPr>
          <w:p>
            <w:r>
              <w:rPr>
                <w:sz w:val="18"/>
              </w:rPr>
              <w:t>Mobility Agreement</w:t>
            </w:r>
          </w:p>
        </w:tc>
      </w:tr>
      <w:tr>
        <w:tc>
          <w:tcPr>
            <w:tcW w:type="dxa" w:w="5083"/>
            <w:vAlign w:val="center"/>
          </w:tcPr>
          <w:p>
            <w:r>
              <w:rPr>
                <w:sz w:val="18"/>
              </w:rPr>
              <w:t>IIA</w:t>
            </w:r>
          </w:p>
        </w:tc>
        <w:tc>
          <w:tcPr>
            <w:tcW w:type="dxa" w:w="5083"/>
            <w:vAlign w:val="center"/>
          </w:tcPr>
          <w:p>
            <w:r>
              <w:rPr>
                <w:sz w:val="18"/>
              </w:rPr>
              <w:t>Inter-Institutional Agreement</w:t>
            </w:r>
          </w:p>
        </w:tc>
      </w:tr>
      <w:tr>
        <w:tc>
          <w:tcPr>
            <w:tcW w:type="dxa" w:w="5083"/>
            <w:vAlign w:val="center"/>
          </w:tcPr>
          <w:p>
            <w:r>
              <w:rPr>
                <w:sz w:val="18"/>
              </w:rPr>
              <w:t>HEI</w:t>
            </w:r>
          </w:p>
        </w:tc>
        <w:tc>
          <w:tcPr>
            <w:tcW w:type="dxa" w:w="5083"/>
            <w:vAlign w:val="center"/>
          </w:tcPr>
          <w:p>
            <w:r>
              <w:rPr>
                <w:sz w:val="18"/>
              </w:rPr>
              <w:t>Higher Education Institution</w:t>
            </w:r>
          </w:p>
        </w:tc>
      </w:tr>
      <w:tr>
        <w:tc>
          <w:tcPr>
            <w:tcW w:type="dxa" w:w="5083"/>
            <w:vAlign w:val="center"/>
          </w:tcPr>
          <w:p>
            <w:r>
              <w:rPr>
                <w:sz w:val="18"/>
              </w:rPr>
              <w:t>ECHE</w:t>
            </w:r>
          </w:p>
        </w:tc>
        <w:tc>
          <w:tcPr>
            <w:tcW w:type="dxa" w:w="5083"/>
            <w:vAlign w:val="center"/>
          </w:tcPr>
          <w:p>
            <w:r>
              <w:rPr>
                <w:sz w:val="18"/>
              </w:rPr>
              <w:t>Erasmus Charter for Higher Education</w:t>
            </w:r>
          </w:p>
        </w:tc>
      </w:tr>
      <w:tr>
        <w:tc>
          <w:tcPr>
            <w:tcW w:type="dxa" w:w="5083"/>
            <w:vAlign w:val="center"/>
          </w:tcPr>
          <w:p>
            <w:r>
              <w:rPr>
                <w:sz w:val="18"/>
              </w:rPr>
              <w:t>EWP</w:t>
            </w:r>
          </w:p>
        </w:tc>
        <w:tc>
          <w:tcPr>
            <w:tcW w:type="dxa" w:w="5083"/>
            <w:vAlign w:val="center"/>
          </w:tcPr>
          <w:p>
            <w:r>
              <w:rPr>
                <w:sz w:val="18"/>
              </w:rPr>
              <w:t>Erasmus Without Paper</w:t>
            </w:r>
          </w:p>
        </w:tc>
      </w:tr>
    </w:tbl>
    <w:p>
      <w:pPr>
        <w:spacing w:after="80"/>
      </w:pPr>
    </w:p>
    <w:p>
      <w:pPr>
        <w:pStyle w:val="Heading1"/>
        <w:spacing w:after="80"/>
      </w:pPr>
      <w:r>
        <w:t>I. SCOPE AND ELIGIBILITY</w:t>
      </w:r>
    </w:p>
    <w:p>
      <w:pPr>
        <w:spacing w:after="80"/>
      </w:pPr>
      <w:r>
        <w:t>This procedure regulates outgoing and incoming KA131-HED student mobility for studies, traineeships and participation in BIPs. It covers the full mobility cycle from the call or nomination to final recognition and archiving.</w:t>
      </w:r>
    </w:p>
    <w:p>
      <w:pPr>
        <w:spacing w:after="80"/>
      </w:pPr>
      <w:r>
        <w:t>Long-term student mobility for studies lasts from 2 months (or one academic term/trimester) to 12 months of physical mobility. Student mobility for traineeships lasts from 2 to 12 months. Short-term blended student mobility lasts from 5 to 30 days of physical mobility and must include a compulsory virtual component; blended mobility for studies awards at least 3 ECTS.</w:t>
      </w:r>
    </w:p>
    <w:p>
      <w:pPr>
        <w:pStyle w:val="Heading1"/>
        <w:spacing w:after="80"/>
      </w:pPr>
      <w:r>
        <w:t>II. OUTGOING STUDENT MOBILITY FOR STUDIES (SMS)</w:t>
      </w:r>
    </w:p>
    <w:p>
      <w:pPr>
        <w:pStyle w:val="Heading2"/>
        <w:spacing w:after="80"/>
      </w:pPr>
      <w:r>
        <w:t>Procedure</w:t>
      </w:r>
    </w:p>
    <w:p>
      <w:pPr>
        <w:spacing w:after="80"/>
      </w:pPr>
      <w:r>
        <w:rPr>
          <w:b/>
        </w:rPr>
        <w:t xml:space="preserve">Step 1. </w:t>
      </w:r>
      <w:r>
        <w:t>Before the call, Melius Academy checks the relevant KA131 project, partner IIA, field, quota, semester and partner nomination/application deadlines.</w:t>
      </w:r>
    </w:p>
    <w:p>
      <w:pPr>
        <w:spacing w:after="80"/>
      </w:pPr>
      <w:r>
        <w:rPr>
          <w:b/>
        </w:rPr>
        <w:t xml:space="preserve">Step 2. </w:t>
      </w:r>
      <w:r>
        <w:t>The call is published with eligibility conditions, required documents, selection criteria, available destinations, mobility period, grant information and appeal procedure.</w:t>
      </w:r>
    </w:p>
    <w:p>
      <w:pPr>
        <w:spacing w:after="80"/>
      </w:pPr>
      <w:r>
        <w:rPr>
          <w:b/>
        </w:rPr>
        <w:t xml:space="preserve">Step 3. </w:t>
      </w:r>
      <w:r>
        <w:t>Applications are checked for eligibility, completeness, student status and the maximum Erasmus+ duration available within the current study cycle.</w:t>
      </w:r>
    </w:p>
    <w:p>
      <w:pPr>
        <w:spacing w:after="80"/>
      </w:pPr>
      <w:r>
        <w:rPr>
          <w:b/>
        </w:rPr>
        <w:t xml:space="preserve">Step 4. </w:t>
      </w:r>
      <w:r>
        <w:t>The Selection Committee scores candidates strictly according to the criteria and weighting published in the call and prepares a preliminary ranking list.</w:t>
      </w:r>
    </w:p>
    <w:p>
      <w:pPr>
        <w:spacing w:after="80"/>
      </w:pPr>
      <w:r>
        <w:rPr>
          <w:b/>
        </w:rPr>
        <w:t xml:space="preserve">Step 5. </w:t>
      </w:r>
      <w:r>
        <w:t>After the appeal period, Melius Academy issues the final ranking list and asks selected candidates to confirm participation.</w:t>
      </w:r>
    </w:p>
    <w:p>
      <w:pPr>
        <w:spacing w:after="80"/>
      </w:pPr>
      <w:r>
        <w:rPr>
          <w:b/>
        </w:rPr>
        <w:t xml:space="preserve">Step 6. </w:t>
      </w:r>
      <w:r>
        <w:t>Melius Academy nominates the student to the receiving HEI. The student completes the receiving institution's application procedure.</w:t>
      </w:r>
    </w:p>
    <w:p>
      <w:pPr>
        <w:spacing w:after="80"/>
      </w:pPr>
      <w:r>
        <w:rPr>
          <w:b/>
        </w:rPr>
        <w:t xml:space="preserve">Step 7. </w:t>
      </w:r>
      <w:r>
        <w:t>After acceptance, the student chooses educational components from the partner course catalogue. The department and Erasmus Coordinator verify academic relevance and recognition.</w:t>
      </w:r>
    </w:p>
    <w:p>
      <w:pPr>
        <w:spacing w:after="80"/>
      </w:pPr>
      <w:r>
        <w:rPr>
          <w:b/>
        </w:rPr>
        <w:t xml:space="preserve">Step 8. </w:t>
      </w:r>
      <w:r>
        <w:t>The Learning Agreement for Studies is approved by the student, Melius Academy and the receiving HEI before the mobility, except where the applicable Erasmus+ rules permit a different timing.</w:t>
      </w:r>
    </w:p>
    <w:p>
      <w:pPr>
        <w:spacing w:after="80"/>
      </w:pPr>
      <w:r>
        <w:rPr>
          <w:b/>
        </w:rPr>
        <w:t xml:space="preserve">Step 9. </w:t>
      </w:r>
      <w:r>
        <w:t>The student completes insurance, travel and practical preparation and signs the Grant Agreement.</w:t>
      </w:r>
    </w:p>
    <w:p>
      <w:pPr>
        <w:spacing w:after="80"/>
      </w:pPr>
      <w:r>
        <w:rPr>
          <w:b/>
        </w:rPr>
        <w:t xml:space="preserve">Step 10. </w:t>
      </w:r>
      <w:r>
        <w:t>During the mobility, the student follows the approved programme and requests any necessary LA changes without delay. Changes must be approved by all three parties.</w:t>
      </w:r>
    </w:p>
    <w:p>
      <w:pPr>
        <w:spacing w:after="80"/>
      </w:pPr>
      <w:r>
        <w:rPr>
          <w:b/>
        </w:rPr>
        <w:t xml:space="preserve">Step 11. </w:t>
      </w:r>
      <w:r>
        <w:t>After the mobility, the student obtains the Transcript of Records and evidence of the actual mobility period where required.</w:t>
      </w:r>
    </w:p>
    <w:p>
      <w:pPr>
        <w:spacing w:after="80"/>
      </w:pPr>
      <w:r>
        <w:rPr>
          <w:b/>
        </w:rPr>
        <w:t xml:space="preserve">Step 12. </w:t>
      </w:r>
      <w:r>
        <w:t>Melius Academy recognises all successfully completed components in accordance with the approved LA and records the recognised ECTS and grades.</w:t>
      </w:r>
    </w:p>
    <w:p>
      <w:pPr>
        <w:pStyle w:val="Heading1"/>
        <w:spacing w:after="80"/>
      </w:pPr>
      <w:r>
        <w:t>III. OUTGOING STUDENT MOBILITY FOR TRAINEESHIPS (SMT)</w:t>
      </w:r>
    </w:p>
    <w:p>
      <w:pPr>
        <w:pStyle w:val="Heading2"/>
        <w:spacing w:after="80"/>
      </w:pPr>
      <w:r>
        <w:t>Procedure</w:t>
      </w:r>
    </w:p>
    <w:p>
      <w:pPr>
        <w:spacing w:after="80"/>
      </w:pPr>
      <w:r>
        <w:rPr>
          <w:b/>
        </w:rPr>
        <w:t xml:space="preserve">Step 1. </w:t>
      </w:r>
      <w:r>
        <w:t>The student identifies an eligible host organisation and a traineeship relevant to the study programme.</w:t>
      </w:r>
    </w:p>
    <w:p>
      <w:pPr>
        <w:spacing w:after="80"/>
      </w:pPr>
      <w:r>
        <w:rPr>
          <w:b/>
        </w:rPr>
        <w:t xml:space="preserve">Step 2. </w:t>
      </w:r>
      <w:r>
        <w:t>The host, Melius Academy and the student define tasks, learning outcomes, mentoring, monitoring, working conditions and assessment in the Learning Agreement for Traineeships.</w:t>
      </w:r>
    </w:p>
    <w:p>
      <w:pPr>
        <w:spacing w:after="80"/>
      </w:pPr>
      <w:r>
        <w:t>For a traineeship that is academically recognised within a Melius Academy study programme, an internal minimum of 3 ECTS applies. The final number of ECTS and the recognition method are decided by the ECTS Coordinator on the basis of the Learning Agreement, learning outcomes, workload and the applicable study programme. This is an internal academic standard of the institution and not a general Erasmus+ minimum for all traineeships.</w:t>
      </w:r>
    </w:p>
    <w:p>
      <w:pPr>
        <w:spacing w:after="80"/>
      </w:pPr>
      <w:r>
        <w:rPr>
          <w:b/>
        </w:rPr>
        <w:t xml:space="preserve">Step 4. </w:t>
      </w:r>
      <w:r>
        <w:t>The student signs the Grant Agreement and provides the required insurance, including accident/liability coverage where relevant.</w:t>
      </w:r>
    </w:p>
    <w:p>
      <w:pPr>
        <w:spacing w:after="80"/>
      </w:pPr>
      <w:r>
        <w:rPr>
          <w:b/>
        </w:rPr>
        <w:t xml:space="preserve">Step 5. </w:t>
      </w:r>
      <w:r>
        <w:t>During the traineeship, the student and mentor monitor progress and formally approve any significant change to tasks, period or learning outcomes.</w:t>
      </w:r>
    </w:p>
    <w:p>
      <w:pPr>
        <w:spacing w:after="80"/>
      </w:pPr>
      <w:r>
        <w:rPr>
          <w:b/>
        </w:rPr>
        <w:t xml:space="preserve">Step 6. </w:t>
      </w:r>
      <w:r>
        <w:t>At completion, the host issues the Traineeship Certificate with the actual period, activities, learning outcomes and evaluation.</w:t>
      </w:r>
    </w:p>
    <w:p>
      <w:pPr>
        <w:spacing w:after="80"/>
      </w:pPr>
      <w:r>
        <w:rPr>
          <w:b/>
        </w:rPr>
        <w:t xml:space="preserve">Step 7. </w:t>
      </w:r>
      <w:r>
        <w:t>Melius Academy records the recognised traineeship/ECTS in accordance with the pre-approved recognition arrangement.</w:t>
      </w:r>
    </w:p>
    <w:p>
      <w:pPr>
        <w:pStyle w:val="Heading1"/>
        <w:spacing w:after="80"/>
      </w:pPr>
      <w:r>
        <w:t>IV. BIP / SHORT-TERM BLENDED MOBILITY</w:t>
      </w:r>
    </w:p>
    <w:p>
      <w:pPr>
        <w:spacing w:after="80"/>
      </w:pPr>
      <w:r>
        <w:t>A student participating as a learner in a BIP undertakes a physical mobility period of 5–30 days combined with a compulsory virtual component. The combined programme awards at least 3 ECTS. The sending HEI must define the recognition in advance.</w:t>
      </w:r>
    </w:p>
    <w:p>
      <w:pPr>
        <w:pStyle w:val="Heading1"/>
        <w:spacing w:after="80"/>
      </w:pPr>
      <w:r>
        <w:t>V. INCOMING STUDIES</w:t>
      </w:r>
    </w:p>
    <w:p>
      <w:pPr>
        <w:pStyle w:val="Heading2"/>
        <w:spacing w:after="80"/>
      </w:pPr>
      <w:r>
        <w:t>Procedure</w:t>
      </w:r>
    </w:p>
    <w:p>
      <w:pPr>
        <w:spacing w:after="80"/>
      </w:pPr>
      <w:r>
        <w:rPr>
          <w:b/>
        </w:rPr>
        <w:t xml:space="preserve">Step 1. </w:t>
      </w:r>
      <w:r>
        <w:t>Melius Academy receives an official nomination from the partner HEI and checks the IIA, field, semester and quota.</w:t>
      </w:r>
    </w:p>
    <w:p>
      <w:pPr>
        <w:spacing w:after="80"/>
      </w:pPr>
      <w:r>
        <w:rPr>
          <w:b/>
        </w:rPr>
        <w:t xml:space="preserve">Step 2. </w:t>
      </w:r>
      <w:r>
        <w:t>The student receives application instructions, academic calendar, course catalogue and a clear notice that regular Melius Academy courses are taught in Serbian.</w:t>
      </w:r>
    </w:p>
    <w:p>
      <w:pPr>
        <w:spacing w:after="80"/>
      </w:pPr>
      <w:r>
        <w:rPr>
          <w:b/>
        </w:rPr>
        <w:t xml:space="preserve">Step 3. </w:t>
      </w:r>
      <w:r>
        <w:t>The relevant department checks actual course availability, prerequisites, timetable feasibility and language accessibility before the LA is approved.</w:t>
      </w:r>
    </w:p>
    <w:p>
      <w:pPr>
        <w:spacing w:after="80"/>
      </w:pPr>
      <w:r>
        <w:rPr>
          <w:b/>
        </w:rPr>
        <w:t xml:space="preserve">Step 4. </w:t>
      </w:r>
      <w:r>
        <w:t>Melius Academy approves the Learning Agreement and issues an acceptance document where required.</w:t>
      </w:r>
    </w:p>
    <w:p>
      <w:pPr>
        <w:spacing w:after="80"/>
      </w:pPr>
      <w:r>
        <w:rPr>
          <w:b/>
        </w:rPr>
        <w:t xml:space="preserve">Step 5. </w:t>
      </w:r>
      <w:r>
        <w:t>After arrival, the student is registered, oriented and connected with the relevant department and teaching staff.</w:t>
      </w:r>
    </w:p>
    <w:p>
      <w:pPr>
        <w:spacing w:after="80"/>
      </w:pPr>
      <w:r>
        <w:rPr>
          <w:b/>
        </w:rPr>
        <w:t xml:space="preserve">Step 6. </w:t>
      </w:r>
      <w:r>
        <w:t>Any course change is academically justified and approved by all three parties.</w:t>
      </w:r>
    </w:p>
    <w:p>
      <w:pPr>
        <w:spacing w:after="80"/>
      </w:pPr>
      <w:r>
        <w:rPr>
          <w:b/>
        </w:rPr>
        <w:t xml:space="preserve">Step 7. </w:t>
      </w:r>
      <w:r>
        <w:t>After examinations, Melius Academy issues a Transcript of Records with completed components, ECTS and grades.</w:t>
      </w:r>
    </w:p>
    <w:p>
      <w:pPr>
        <w:pStyle w:val="Heading1"/>
        <w:spacing w:after="80"/>
      </w:pPr>
      <w:r>
        <w:t>VI. INCOMING TRAINEESHIPS</w:t>
      </w:r>
    </w:p>
    <w:p>
      <w:pPr>
        <w:pStyle w:val="Heading2"/>
        <w:spacing w:after="80"/>
      </w:pPr>
      <w:r>
        <w:t>Procedure</w:t>
      </w:r>
    </w:p>
    <w:p>
      <w:pPr>
        <w:spacing w:after="80"/>
      </w:pPr>
      <w:r>
        <w:rPr>
          <w:b/>
        </w:rPr>
        <w:t xml:space="preserve">Step 1. </w:t>
      </w:r>
      <w:r>
        <w:t>The nomination/application is checked and a suitable Melius Academy host unit and mentor are identified.</w:t>
      </w:r>
    </w:p>
    <w:p>
      <w:pPr>
        <w:spacing w:after="80"/>
      </w:pPr>
      <w:r>
        <w:rPr>
          <w:b/>
        </w:rPr>
        <w:t xml:space="preserve">Step 2. </w:t>
      </w:r>
      <w:r>
        <w:t>The Learning Agreement for Traineeships specifies tasks, learning outcomes, monitoring and assessment.</w:t>
      </w:r>
    </w:p>
    <w:p>
      <w:pPr>
        <w:spacing w:after="80"/>
      </w:pPr>
      <w:r>
        <w:rPr>
          <w:b/>
        </w:rPr>
        <w:t xml:space="preserve">Step 3. </w:t>
      </w:r>
      <w:r>
        <w:t>The student is registered for the mobility and receives practical and safety information.</w:t>
      </w:r>
    </w:p>
    <w:p>
      <w:pPr>
        <w:spacing w:after="80"/>
      </w:pPr>
      <w:r>
        <w:rPr>
          <w:b/>
        </w:rPr>
        <w:t xml:space="preserve">Step 4. </w:t>
      </w:r>
      <w:r>
        <w:t>The mentor monitors attendance and progress and reports material problems to the Erasmus Coordinator.</w:t>
      </w:r>
    </w:p>
    <w:p>
      <w:pPr>
        <w:spacing w:after="80"/>
      </w:pPr>
      <w:r>
        <w:rPr>
          <w:b/>
        </w:rPr>
        <w:t xml:space="preserve">Step 5. </w:t>
      </w:r>
      <w:r>
        <w:t>At the end, Melius Academy/host unit issues the Traineeship Certificate and confirmation of the mobility period.</w:t>
      </w:r>
    </w:p>
    <w:p>
      <w:pPr>
        <w:pStyle w:val="Heading1"/>
        <w:spacing w:after="80"/>
      </w:pPr>
      <w:r>
        <w:t>VII. FINAL FILE</w:t>
      </w:r>
    </w:p>
    <w:p>
      <w:pPr>
        <w:pStyle w:val="ListBullet"/>
        <w:spacing w:after="80"/>
      </w:pPr>
      <w:r>
        <w:t>application and selection records</w:t>
      </w:r>
    </w:p>
    <w:p>
      <w:pPr>
        <w:pStyle w:val="ListBullet"/>
        <w:spacing w:after="80"/>
      </w:pPr>
      <w:r>
        <w:t>nomination and acceptance</w:t>
      </w:r>
    </w:p>
    <w:p>
      <w:pPr>
        <w:pStyle w:val="ListBullet"/>
        <w:spacing w:after="80"/>
      </w:pPr>
      <w:r>
        <w:t>final Learning Agreement and amendments</w:t>
      </w:r>
    </w:p>
    <w:p>
      <w:pPr>
        <w:pStyle w:val="ListBullet"/>
        <w:spacing w:after="80"/>
      </w:pPr>
      <w:r>
        <w:t>Grant Agreement for outgoing participants</w:t>
      </w:r>
    </w:p>
    <w:p>
      <w:pPr>
        <w:pStyle w:val="ListBullet"/>
        <w:spacing w:after="80"/>
      </w:pPr>
      <w:r>
        <w:t>proof of insurance/support where relevant</w:t>
      </w:r>
    </w:p>
    <w:p>
      <w:pPr>
        <w:pStyle w:val="ListBullet"/>
        <w:spacing w:after="80"/>
      </w:pPr>
      <w:r>
        <w:t>Transcript of Records or Traineeship Certificate</w:t>
      </w:r>
    </w:p>
    <w:p>
      <w:pPr>
        <w:pStyle w:val="ListBullet"/>
        <w:spacing w:after="80"/>
      </w:pPr>
      <w:r>
        <w:t>proof of mobility period</w:t>
      </w:r>
    </w:p>
    <w:p>
      <w:pPr>
        <w:pStyle w:val="ListBullet"/>
        <w:spacing w:after="80"/>
      </w:pPr>
      <w:r>
        <w:t>recognition record</w:t>
      </w:r>
    </w:p>
    <w:p>
      <w:pPr>
        <w:pStyle w:val="ListBullet"/>
        <w:spacing w:after="80"/>
      </w:pPr>
      <w:r>
        <w:t>Participant Report and other project documentation</w:t>
      </w:r>
    </w:p>
    <w:p>
      <w:pPr>
        <w:spacing w:after="80"/>
      </w:pPr>
      <w:r>
        <w:br w:type="page"/>
      </w:r>
    </w:p>
    <w:p>
      <w:pPr>
        <w:spacing w:after="80"/>
      </w:pPr>
      <w:r>
        <w:t>This document is applied together with the current Erasmus+ Programme Guide 2026, ECHE principles, the applicable Learning Agreement/Mobility Agreement templates, the Grant Agreement of the specific project and the rules of the competent National Agency. If a programme rule changes, the rule applicable to the relevant call/project year prevails.</w:t>
      </w:r>
    </w:p>
    <w:p>
      <w:pPr>
        <w:pStyle w:val="Heading1"/>
        <w:spacing w:after="80"/>
      </w:pPr>
      <w:r>
        <w:t>Programme basis and applicability</w:t>
      </w:r>
    </w:p>
    <w:p>
      <w:pPr/>
      <w:r>
        <w:t>The institutional continuity of Melius Academy originates from the former Academy of Business Economics in Čačak. The institution operated under that name and held a work permit dating back to 2009. During 2026, a change of seat and name was implemented: in May 2026 the move from Čačak to Belgrade and the new name “Melius Academy” were publicly announced; in July 2026 the institution published the formal change of name and seat and subsequently a new work permit issued by the Ministry of Education for the higher education institution “Melius Academy” based in Belgrade. The change therefore represents institutional continuity under a new name and seat rather than the establishment of an entirely new institution.</w:t>
      </w:r>
    </w:p>
    <w:p>
      <w:pPr/>
      <w:r>
        <w:t>Melius Academy is a higher education institution of academic studies based at Trešnjin cvet 11, Belgrade, Republic of Serbia. Regular teaching is delivered in Serbian. For incoming Erasmus+ students, English-language support may be arranged in advance with the Erasmus/International Coordinator, the responsible teacher and the relevant organisational unit. Depending on academic and organisational feasibility, this may include explanations in English, selected English-language materials or interpretation/translation support. Such support is not automatically guaranteed for every course and should be agreed before final approval of the Learning Agreement.</w:t>
      </w:r>
    </w:p>
    <w:p>
      <w:pPr>
        <w:pStyle w:val="Heading1"/>
      </w:pPr>
      <w:r>
        <w:t>Institutional profile and continuity</w:t>
      </w:r>
    </w:p>
    <w:p>
      <w:pPr/>
      <w:r>
        <w:t>For a traineeship that is academically recognised within a Melius Academy study programme, an internal minimum of 3 ECTS applies. The final number of ECTS and the recognition method are decided by the ECTS Coordinator on the basis of the Learning Agreement, learning outcomes, workload and the applicable study programme. This is an internal academic standard of the institution and not a general Erasmus+ minimum for all traineeships.</w:t>
      </w:r>
    </w:p>
    <w:p>
      <w:pPr>
        <w:pStyle w:val="Heading1"/>
      </w:pPr>
      <w:r>
        <w:t>ECTS recognition of traineeships</w:t>
      </w:r>
    </w:p>
    <w:p>
      <w:pPr>
        <w:spacing w:after="80"/>
        <w:jc w:val="center"/>
      </w:pPr>
      <w:r>
        <w:rPr>
          <w:b/>
          <w:color w:val="B4B4B4"/>
          <w:sz w:val="60"/>
        </w:rPr>
        <w:t>PRIMER / EXAMPLE</w:t>
      </w:r>
    </w:p>
    <w:p>
      <w:pPr>
        <w:spacing w:after="80"/>
        <w:jc w:val="center"/>
      </w:pPr>
      <w:r>
        <w:rPr>
          <w:b/>
          <w:color w:val="B40000"/>
          <w:sz w:val="26"/>
        </w:rPr>
        <w:t>DELETE THIS ENTIRE PAGE BEFORE OFFICIAL USE</w:t>
      </w:r>
    </w:p>
    <w:p>
      <w:pPr>
        <w:pStyle w:val="Heading2"/>
        <w:spacing w:after="80"/>
      </w:pPr>
      <w:r>
        <w:t>Worked example</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shd w:fill="E8F0F5"/>
          </w:tcPr>
          <w:p>
            <w:r>
              <w:rPr>
                <w:b/>
                <w:sz w:val="18"/>
              </w:rPr>
              <w:t>Field</w:t>
            </w:r>
          </w:p>
        </w:tc>
        <w:tc>
          <w:tcPr>
            <w:tcW w:type="dxa" w:w="5083"/>
            <w:shd w:fill="E8F0F5"/>
          </w:tcPr>
          <w:p>
            <w:r>
              <w:rPr>
                <w:b/>
                <w:sz w:val="18"/>
              </w:rPr>
              <w:t>Completed example</w:t>
            </w:r>
          </w:p>
        </w:tc>
      </w:tr>
      <w:tr>
        <w:tc>
          <w:tcPr>
            <w:tcW w:type="dxa" w:w="5083"/>
            <w:vAlign w:val="center"/>
          </w:tcPr>
          <w:p>
            <w:r>
              <w:rPr>
                <w:sz w:val="18"/>
              </w:rPr>
              <w:t>Student</w:t>
            </w:r>
          </w:p>
        </w:tc>
        <w:tc>
          <w:tcPr>
            <w:tcW w:type="dxa" w:w="5083"/>
            <w:vAlign w:val="center"/>
          </w:tcPr>
          <w:p>
            <w:r>
              <w:rPr>
                <w:sz w:val="18"/>
              </w:rPr>
              <w:t>Ana Petrović</w:t>
            </w:r>
          </w:p>
        </w:tc>
      </w:tr>
      <w:tr>
        <w:tc>
          <w:tcPr>
            <w:tcW w:type="dxa" w:w="5083"/>
            <w:vAlign w:val="center"/>
          </w:tcPr>
          <w:p>
            <w:r>
              <w:rPr>
                <w:sz w:val="18"/>
              </w:rPr>
              <w:t>Activity</w:t>
            </w:r>
          </w:p>
        </w:tc>
        <w:tc>
          <w:tcPr>
            <w:tcW w:type="dxa" w:w="5083"/>
            <w:vAlign w:val="center"/>
          </w:tcPr>
          <w:p>
            <w:r>
              <w:rPr>
                <w:sz w:val="18"/>
              </w:rPr>
              <w:t>SMS, 4 months</w:t>
            </w:r>
          </w:p>
        </w:tc>
      </w:tr>
      <w:tr>
        <w:tc>
          <w:tcPr>
            <w:tcW w:type="dxa" w:w="5083"/>
            <w:vAlign w:val="center"/>
          </w:tcPr>
          <w:p>
            <w:r>
              <w:rPr>
                <w:sz w:val="18"/>
              </w:rPr>
              <w:t>Learning Agreement</w:t>
            </w:r>
          </w:p>
        </w:tc>
        <w:tc>
          <w:tcPr>
            <w:tcW w:type="dxa" w:w="5083"/>
            <w:vAlign w:val="center"/>
          </w:tcPr>
          <w:p>
            <w:r>
              <w:rPr>
                <w:sz w:val="18"/>
              </w:rPr>
              <w:t>30 ECTS</w:t>
            </w:r>
          </w:p>
        </w:tc>
      </w:tr>
      <w:tr>
        <w:tc>
          <w:tcPr>
            <w:tcW w:type="dxa" w:w="5083"/>
            <w:vAlign w:val="center"/>
          </w:tcPr>
          <w:p>
            <w:r>
              <w:rPr>
                <w:sz w:val="18"/>
              </w:rPr>
              <w:t>Completion</w:t>
            </w:r>
          </w:p>
        </w:tc>
        <w:tc>
          <w:tcPr>
            <w:tcW w:type="dxa" w:w="5083"/>
            <w:vAlign w:val="center"/>
          </w:tcPr>
          <w:p>
            <w:r>
              <w:rPr>
                <w:sz w:val="18"/>
              </w:rPr>
              <w:t>Transcript of Records and recognition</w:t>
            </w:r>
          </w:p>
        </w:tc>
      </w:tr>
    </w:tbl>
    <w:p>
      <w:pPr>
        <w:spacing w:after="80"/>
      </w:pPr>
    </w:p>
    <w:p>
      <w:pPr>
        <w:spacing w:after="80"/>
        <w:jc w:val="center"/>
      </w:pPr>
      <w:r>
        <w:rPr>
          <w:b/>
          <w:color w:val="B40000"/>
        </w:rPr>
        <w:t>DELETE THIS ENTIRE PAGE BEFORE OFFICIAL USE</w:t>
      </w:r>
    </w:p>
    <w:sectPr w:rsidR="00FC693F" w:rsidRPr="0006063C" w:rsidSect="00034616">
      <w:headerReference w:type="default" r:id="rId9"/>
      <w:footerReference w:type="default" r:id="rId10"/>
      <w:pgSz w:w="12240" w:h="15840"/>
      <w:pgMar w:top="979" w:right="1037" w:bottom="936" w:left="1037" w:header="173"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6E6E6E"/>
        <w:sz w:val="16"/>
      </w:rPr>
      <w:t>Melius Academy | Erasmus+ Higher Education</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drawing>
        <wp:inline xmlns:a="http://schemas.openxmlformats.org/drawingml/2006/main" xmlns:pic="http://schemas.openxmlformats.org/drawingml/2006/picture">
          <wp:extent cx="6537960" cy="745327"/>
          <wp:docPr id="1" name="Picture 1"/>
          <wp:cNvGraphicFramePr>
            <a:graphicFrameLocks noChangeAspect="1"/>
          </wp:cNvGraphicFramePr>
          <a:graphic>
            <a:graphicData uri="http://schemas.openxmlformats.org/drawingml/2006/picture">
              <pic:pic>
                <pic:nvPicPr>
                  <pic:cNvPr id="0" name="Melius_Erasmus_Header_FINAL.png"/>
                  <pic:cNvPicPr/>
                </pic:nvPicPr>
                <pic:blipFill>
                  <a:blip r:embed="rId3"/>
                  <a:stretch>
                    <a:fillRect/>
                  </a:stretch>
                </pic:blipFill>
                <pic:spPr>
                  <a:xfrm>
                    <a:off x="0" y="0"/>
                    <a:ext cx="6537960" cy="745327"/>
                  </a:xfrm>
                  <a:prstGeom prst="rect"/>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pPr>
    <w:rPr>
      <w:rFonts w:ascii="Aptos" w:hAnsi="Aptos"/>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color w:val="122B38"/>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b/>
      <w:bCs/>
      <w:color w:val="122B38"/>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b/>
      <w:bCs/>
      <w:color w:val="122B38"/>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color w:val="122B38"/>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
    <w:name w:val="Article"/>
    <w:rPr>
      <w:rFonts w:ascii="Aptos" w:hAnsi="Aptos"/>
      <w:b/>
      <w:color w:val="122B38"/>
      <w:sz w:val="21"/>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