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color w:val="5A5A5A"/>
          <w:sz w:val="18"/>
        </w:rPr>
      </w:r>
    </w:p>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KA171-HED – STUDENT MOBILITY</w:t>
      </w:r>
    </w:p>
    <w:p>
      <w:pPr>
        <w:spacing w:after="80"/>
        <w:jc w:val="center"/>
      </w:pPr>
      <w:r>
        <w:rPr>
          <w:i/>
          <w:sz w:val="22"/>
        </w:rPr>
        <w:t>Outgoing and incoming international credit mobility</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I. SCOPE AND SPECIFIC KA171 PRINCIPLE</w:t>
      </w:r>
    </w:p>
    <w:p>
      <w:pPr>
        <w:spacing w:after="80"/>
      </w:pPr>
      <w:r>
        <w:t>KA171-HED supports international credit mobility between Melius Academy and organisations in third countries not associated to the Programme, subject to the countries/regions, activity categories, mobility direction and budget awarded in the specific KA171 project.</w:t>
      </w:r>
    </w:p>
    <w:p>
      <w:pPr>
        <w:spacing w:after="80"/>
      </w:pPr>
      <w:r>
        <w:t>A mobility must never be confirmed solely because the activity exists in the general Programme Guide. Before commitment, Melius Academy verifies the awarded project, region/country, incoming/outgoing direction, participant category, eligible study cycle and remaining budget.</w:t>
      </w:r>
    </w:p>
    <w:p>
      <w:pPr>
        <w:pStyle w:val="Heading1"/>
        <w:spacing w:after="80"/>
      </w:pPr>
      <w:r>
        <w:t>II. PARTNERSHIP AND IIA</w:t>
      </w:r>
    </w:p>
    <w:p>
      <w:pPr>
        <w:spacing w:after="80"/>
      </w:pPr>
      <w:r>
        <w:t>For study mobility, the third-country partner must be a higher education institution recognised by the competent authorities and the required inter-institutional agreement must be in place before the mobility. The IIA defines the cooperation framework, mobility categories and quality commitments.</w:t>
      </w:r>
    </w:p>
    <w:p>
      <w:pPr>
        <w:pStyle w:val="Heading1"/>
        <w:spacing w:after="80"/>
      </w:pPr>
      <w:r>
        <w:t>III. OUTGOING STUDIES</w:t>
      </w:r>
    </w:p>
    <w:p>
      <w:pPr>
        <w:pStyle w:val="Heading2"/>
        <w:spacing w:after="80"/>
      </w:pPr>
      <w:r>
        <w:t>Procedure</w:t>
      </w:r>
    </w:p>
    <w:p>
      <w:pPr>
        <w:spacing w:after="80"/>
      </w:pPr>
      <w:r>
        <w:rPr>
          <w:b/>
        </w:rPr>
        <w:t xml:space="preserve">Step 1. </w:t>
      </w:r>
      <w:r>
        <w:t>Check that the approved KA171 project allows outgoing student mobility to the relevant country/region and study cycle.</w:t>
      </w:r>
    </w:p>
    <w:p>
      <w:pPr>
        <w:spacing w:after="80"/>
      </w:pPr>
      <w:r>
        <w:rPr>
          <w:b/>
        </w:rPr>
        <w:t xml:space="preserve">Step 2. </w:t>
      </w:r>
      <w:r>
        <w:t>Publish a call or conduct the approved institutional selection procedure. Criteria and weighting are defined in the call.</w:t>
      </w:r>
    </w:p>
    <w:p>
      <w:pPr>
        <w:spacing w:after="80"/>
      </w:pPr>
      <w:r>
        <w:rPr>
          <w:b/>
        </w:rPr>
        <w:t xml:space="preserve">Step 3. </w:t>
      </w:r>
      <w:r>
        <w:t>Complete eligibility checks, scoring, preliminary ranking, appeal procedure and final selection.</w:t>
      </w:r>
    </w:p>
    <w:p>
      <w:pPr>
        <w:spacing w:after="80"/>
      </w:pPr>
      <w:r>
        <w:rPr>
          <w:b/>
        </w:rPr>
        <w:t xml:space="preserve">Step 4. </w:t>
      </w:r>
      <w:r>
        <w:t>Nominate the selected student and obtain partner acceptance.</w:t>
      </w:r>
    </w:p>
    <w:p>
      <w:pPr>
        <w:spacing w:after="80"/>
      </w:pPr>
      <w:r>
        <w:rPr>
          <w:b/>
        </w:rPr>
        <w:t xml:space="preserve">Step 5. </w:t>
      </w:r>
      <w:r>
        <w:t>Prepare and approve the KA171 Learning Agreement for Studies, including explicit Melius Academy recognition.</w:t>
      </w:r>
    </w:p>
    <w:p>
      <w:pPr>
        <w:spacing w:after="80"/>
      </w:pPr>
      <w:r>
        <w:rPr>
          <w:b/>
        </w:rPr>
        <w:t xml:space="preserve">Step 6. </w:t>
      </w:r>
      <w:r>
        <w:t>Complete the Grant Agreement, insurance, visa and travel preparation.</w:t>
      </w:r>
    </w:p>
    <w:p>
      <w:pPr>
        <w:spacing w:after="80"/>
      </w:pPr>
      <w:r>
        <w:rPr>
          <w:b/>
        </w:rPr>
        <w:t xml:space="preserve">Step 7. </w:t>
      </w:r>
      <w:r>
        <w:t>Monitor the mobility and approve justified LA changes.</w:t>
      </w:r>
    </w:p>
    <w:p>
      <w:pPr>
        <w:spacing w:after="80"/>
      </w:pPr>
      <w:r>
        <w:rPr>
          <w:b/>
        </w:rPr>
        <w:t xml:space="preserve">Step 8. </w:t>
      </w:r>
      <w:r>
        <w:t>Obtain the Transcript of Records and proof of stay and complete academic recognition.</w:t>
      </w:r>
    </w:p>
    <w:p>
      <w:pPr>
        <w:pStyle w:val="Heading1"/>
        <w:spacing w:after="80"/>
      </w:pPr>
      <w:r>
        <w:t>IV. OUTGOING TRAINEESHIPS</w:t>
      </w:r>
    </w:p>
    <w:p>
      <w:pPr>
        <w:spacing w:after="80"/>
      </w:pPr>
      <w:r>
        <w:t>KA171 may include student mobility for traineeships. The receiving organisation may be an eligible public/private organisation or HEI as permitted by Erasmus+ rules and the specific project. Melius Academy verifies the project basis before approval.</w:t>
      </w:r>
    </w:p>
    <w:p>
      <w:pPr>
        <w:pStyle w:val="Heading2"/>
        <w:spacing w:after="80"/>
      </w:pPr>
      <w:r>
        <w:t>Procedure</w:t>
      </w:r>
    </w:p>
    <w:p>
      <w:pPr>
        <w:spacing w:after="80"/>
      </w:pPr>
      <w:r>
        <w:rPr>
          <w:b/>
        </w:rPr>
        <w:t xml:space="preserve">Step 1. </w:t>
      </w:r>
      <w:r>
        <w:t>Verify that outgoing traineeship mobility is permitted in the awarded project and that no regional/cycle restriction makes the flow ineligible.</w:t>
      </w:r>
    </w:p>
    <w:p>
      <w:pPr>
        <w:spacing w:after="80"/>
      </w:pPr>
      <w:r>
        <w:rPr>
          <w:b/>
        </w:rPr>
        <w:t xml:space="preserve">Step 2. </w:t>
      </w:r>
      <w:r>
        <w:t>Confirm the eligibility of the host organisation and the relevance of the placement.</w:t>
      </w:r>
    </w:p>
    <w:p>
      <w:pPr>
        <w:spacing w:after="80"/>
      </w:pPr>
      <w:r>
        <w:rPr>
          <w:b/>
        </w:rPr>
        <w:t xml:space="preserve">Step 3. </w:t>
      </w:r>
      <w:r>
        <w:t>Prepare the Learning Agreement for Traineeships with tasks, outcomes, supervision and recognition.</w:t>
      </w:r>
    </w:p>
    <w:p>
      <w:pPr>
        <w:spacing w:after="80"/>
      </w:pPr>
      <w:r>
        <w:rPr>
          <w:b/>
        </w:rPr>
        <w:t xml:space="preserve">Step 4. </w:t>
      </w:r>
      <w:r>
        <w:t>Complete Grant Agreement, insurance and practical arrangements.</w:t>
      </w:r>
    </w:p>
    <w:p>
      <w:pPr>
        <w:spacing w:after="80"/>
      </w:pPr>
      <w:r>
        <w:rPr>
          <w:b/>
        </w:rPr>
        <w:t xml:space="preserve">Step 5. </w:t>
      </w:r>
      <w:r>
        <w:t>Monitor implementation and obtain the Traineeship Certificate.</w:t>
      </w:r>
    </w:p>
    <w:p>
      <w:pPr>
        <w:spacing w:after="80"/>
      </w:pPr>
      <w:r>
        <w:rPr>
          <w:b/>
        </w:rPr>
        <w:t xml:space="preserve">Step 6. </w:t>
      </w:r>
      <w:r>
        <w:t>Recognise the placement according to the pre-approved arrangement.</w:t>
      </w:r>
    </w:p>
    <w:p>
      <w:pPr>
        <w:pStyle w:val="Heading1"/>
        <w:spacing w:after="80"/>
      </w:pPr>
      <w:r>
        <w:t>V. INCOMING STUDIES</w:t>
      </w:r>
    </w:p>
    <w:p>
      <w:pPr>
        <w:pStyle w:val="Heading2"/>
        <w:spacing w:after="80"/>
      </w:pPr>
      <w:r>
        <w:t>Procedure</w:t>
      </w:r>
    </w:p>
    <w:p>
      <w:pPr>
        <w:spacing w:after="80"/>
      </w:pPr>
      <w:r>
        <w:rPr>
          <w:b/>
        </w:rPr>
        <w:t xml:space="preserve">Step 1. </w:t>
      </w:r>
      <w:r>
        <w:t>Receive the partner nomination and verify the awarded incoming flow and available budget.</w:t>
      </w:r>
    </w:p>
    <w:p>
      <w:pPr>
        <w:spacing w:after="80"/>
      </w:pPr>
      <w:r>
        <w:rPr>
          <w:b/>
        </w:rPr>
        <w:t xml:space="preserve">Step 2. </w:t>
      </w:r>
      <w:r>
        <w:t>Collect application documents and the proposed Learning Agreement.</w:t>
      </w:r>
    </w:p>
    <w:p>
      <w:pPr>
        <w:spacing w:after="80"/>
      </w:pPr>
      <w:r>
        <w:rPr>
          <w:b/>
        </w:rPr>
        <w:t xml:space="preserve">Step 3. </w:t>
      </w:r>
      <w:r>
        <w:t>Check courses, semester, Serbian language of instruction and feasibility.</w:t>
      </w:r>
    </w:p>
    <w:p>
      <w:pPr>
        <w:spacing w:after="80"/>
      </w:pPr>
      <w:r>
        <w:rPr>
          <w:b/>
        </w:rPr>
        <w:t xml:space="preserve">Step 4. </w:t>
      </w:r>
      <w:r>
        <w:t>Issue acceptance/invitation documents and provide visa/residence information within Melius Academy competence.</w:t>
      </w:r>
    </w:p>
    <w:p>
      <w:pPr>
        <w:spacing w:after="80"/>
      </w:pPr>
      <w:r>
        <w:rPr>
          <w:b/>
        </w:rPr>
        <w:t xml:space="preserve">Step 5. </w:t>
      </w:r>
      <w:r>
        <w:t>Register and support the student during the mobility.</w:t>
      </w:r>
    </w:p>
    <w:p>
      <w:pPr>
        <w:spacing w:after="80"/>
      </w:pPr>
      <w:r>
        <w:rPr>
          <w:b/>
        </w:rPr>
        <w:t xml:space="preserve">Step 6. </w:t>
      </w:r>
      <w:r>
        <w:t>Issue the Transcript of Records and Confirmation of Stay at the end.</w:t>
      </w:r>
    </w:p>
    <w:p>
      <w:pPr>
        <w:pStyle w:val="Heading1"/>
        <w:spacing w:after="80"/>
      </w:pPr>
      <w:r>
        <w:t>VI. INCOMING TRAINEESHIPS</w:t>
      </w:r>
    </w:p>
    <w:p>
      <w:pPr>
        <w:pStyle w:val="Heading2"/>
        <w:spacing w:after="80"/>
      </w:pPr>
      <w:r>
        <w:t>Procedure</w:t>
      </w:r>
    </w:p>
    <w:p>
      <w:pPr>
        <w:spacing w:after="80"/>
      </w:pPr>
      <w:r>
        <w:rPr>
          <w:b/>
        </w:rPr>
        <w:t xml:space="preserve">Step 1. </w:t>
      </w:r>
      <w:r>
        <w:t>Verify that the project and partner arrangement allow the incoming traineeship.</w:t>
      </w:r>
    </w:p>
    <w:p>
      <w:pPr>
        <w:spacing w:after="80"/>
      </w:pPr>
      <w:r>
        <w:rPr>
          <w:b/>
        </w:rPr>
        <w:t xml:space="preserve">Step 2. </w:t>
      </w:r>
      <w:r>
        <w:t>Identify the Melius Academy host unit and mentor.</w:t>
      </w:r>
    </w:p>
    <w:p>
      <w:pPr>
        <w:spacing w:after="80"/>
      </w:pPr>
      <w:r>
        <w:rPr>
          <w:b/>
        </w:rPr>
        <w:t xml:space="preserve">Step 3. </w:t>
      </w:r>
      <w:r>
        <w:t>Approve the Learning Agreement for Traineeships.</w:t>
      </w:r>
    </w:p>
    <w:p>
      <w:pPr>
        <w:spacing w:after="80"/>
      </w:pPr>
      <w:r>
        <w:rPr>
          <w:b/>
        </w:rPr>
        <w:t xml:space="preserve">Step 4. </w:t>
      </w:r>
      <w:r>
        <w:t>Provide practical support and monitor implementation.</w:t>
      </w:r>
    </w:p>
    <w:p>
      <w:pPr>
        <w:spacing w:after="80"/>
      </w:pPr>
      <w:r>
        <w:rPr>
          <w:b/>
        </w:rPr>
        <w:t xml:space="preserve">Step 5. </w:t>
      </w:r>
      <w:r>
        <w:t>Issue the Traineeship Certificate and evidence of the actual period.</w:t>
      </w:r>
    </w:p>
    <w:p>
      <w:pPr>
        <w:pStyle w:val="Heading1"/>
        <w:spacing w:after="80"/>
      </w:pPr>
      <w:r>
        <w:t>VII. KA171 PARTICIPATION IN A BIP</w:t>
      </w:r>
    </w:p>
    <w:p>
      <w:pPr>
        <w:spacing w:after="80"/>
      </w:pPr>
      <w:r>
        <w:t>KA171 external-policy funds do not finance BIP organisational support. A participant from a third country not associated to the Programme may nevertheless participate in an eligible BIP with Erasmus+ support where the receiving institution has, in parallel, an external-policy mobility project funding incoming participants from that country. Such participants do not count towards the minimum BIP organisational-support requirement.</w:t>
      </w:r>
    </w:p>
    <w:p>
      <w:pPr>
        <w:pStyle w:val="Heading1"/>
        <w:spacing w:after="80"/>
      </w:pPr>
      <w:r>
        <w:t>VIII. IMPORTANT REGIONAL RESTRICTIONS</w:t>
      </w:r>
    </w:p>
    <w:p>
      <w:pPr>
        <w:spacing w:after="80"/>
      </w:pPr>
      <w:r>
        <w:t>The Programme Guide may restrict outgoing first- and second-cycle student mobility towards certain ODA-eligible countries/regions. Melius Academy therefore checks the current Programme Guide and project award before each outgoing KA171 student mobility.</w:t>
      </w:r>
    </w:p>
    <w:p>
      <w:pPr>
        <w:pStyle w:val="Heading1"/>
        <w:spacing w:after="80"/>
      </w:pPr>
      <w:r>
        <w:t>IX. DOCUMENTATION</w:t>
      </w:r>
    </w:p>
    <w:p>
      <w:pPr>
        <w:pStyle w:val="ListBullet"/>
        <w:spacing w:after="80"/>
      </w:pPr>
      <w:r>
        <w:t>project and budget eligibility check</w:t>
      </w:r>
    </w:p>
    <w:p>
      <w:pPr>
        <w:pStyle w:val="ListBullet"/>
        <w:spacing w:after="80"/>
      </w:pPr>
      <w:r>
        <w:t>partner nomination/application</w:t>
      </w:r>
    </w:p>
    <w:p>
      <w:pPr>
        <w:pStyle w:val="ListBullet"/>
        <w:spacing w:after="80"/>
      </w:pPr>
      <w:r>
        <w:t>IIA where applicable</w:t>
      </w:r>
    </w:p>
    <w:p>
      <w:pPr>
        <w:pStyle w:val="ListBullet"/>
        <w:spacing w:after="80"/>
      </w:pPr>
      <w:r>
        <w:t>Learning Agreement and amendments</w:t>
      </w:r>
    </w:p>
    <w:p>
      <w:pPr>
        <w:pStyle w:val="ListBullet"/>
        <w:spacing w:after="80"/>
      </w:pPr>
      <w:r>
        <w:t>Grant Agreement</w:t>
      </w:r>
    </w:p>
    <w:p>
      <w:pPr>
        <w:pStyle w:val="ListBullet"/>
        <w:spacing w:after="80"/>
      </w:pPr>
      <w:r>
        <w:t>visa/residence/insurance records where relevant</w:t>
      </w:r>
    </w:p>
    <w:p>
      <w:pPr>
        <w:pStyle w:val="ListBullet"/>
        <w:spacing w:after="80"/>
      </w:pPr>
      <w:r>
        <w:t>Transcript/Traineeship Certificate</w:t>
      </w:r>
    </w:p>
    <w:p>
      <w:pPr>
        <w:pStyle w:val="ListBullet"/>
        <w:spacing w:after="80"/>
      </w:pPr>
      <w:r>
        <w:t>Confirmation of Stay</w:t>
      </w:r>
    </w:p>
    <w:p>
      <w:pPr>
        <w:pStyle w:val="ListBullet"/>
        <w:spacing w:after="80"/>
      </w:pPr>
      <w:r>
        <w:t>recognition record</w:t>
      </w:r>
    </w:p>
    <w:p>
      <w:pPr>
        <w:pStyle w:val="ListBullet"/>
        <w:spacing w:after="80"/>
      </w:pPr>
      <w:r>
        <w:t>Beneficiary Module/project reporting records</w:t>
      </w:r>
    </w:p>
    <w:p>
      <w:pPr>
        <w:spacing w:after="80"/>
      </w:pPr>
      <w:r>
        <w:br w:type="page"/>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r>
        <w:t>For a traineeship that is academically recognised within a Melius Academy study programme, an internal minimum of 3 ECTS applies. The final number of ECTS and the recognition method are decided by the ECTS Coordinator on the basis of the Learning Agreement, learning outcomes, workload and the applicable study programme. This is an internal academic standard of the institution and not a general Erasmus+ minimum for all traineeships.</w:t>
      </w:r>
    </w:p>
    <w:p>
      <w:pPr>
        <w:pStyle w:val="Heading1"/>
      </w:pPr>
      <w:r>
        <w:t>ECTS recognition of traineeships</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Student</w:t>
            </w:r>
          </w:p>
        </w:tc>
        <w:tc>
          <w:tcPr>
            <w:tcW w:type="dxa" w:w="5083"/>
            <w:vAlign w:val="center"/>
          </w:tcPr>
          <w:p>
            <w:r>
              <w:rPr>
                <w:sz w:val="18"/>
              </w:rPr>
              <w:t>Marko Jovanović</w:t>
            </w:r>
          </w:p>
        </w:tc>
      </w:tr>
      <w:tr>
        <w:tc>
          <w:tcPr>
            <w:tcW w:type="dxa" w:w="5083"/>
            <w:vAlign w:val="center"/>
          </w:tcPr>
          <w:p>
            <w:r>
              <w:rPr>
                <w:sz w:val="18"/>
              </w:rPr>
              <w:t>Activity</w:t>
            </w:r>
          </w:p>
        </w:tc>
        <w:tc>
          <w:tcPr>
            <w:tcW w:type="dxa" w:w="5083"/>
            <w:vAlign w:val="center"/>
          </w:tcPr>
          <w:p>
            <w:r>
              <w:rPr>
                <w:sz w:val="18"/>
              </w:rPr>
              <w:t>KA171 outgoing traineeship</w:t>
            </w:r>
          </w:p>
        </w:tc>
      </w:tr>
      <w:tr>
        <w:tc>
          <w:tcPr>
            <w:tcW w:type="dxa" w:w="5083"/>
            <w:vAlign w:val="center"/>
          </w:tcPr>
          <w:p>
            <w:r>
              <w:rPr>
                <w:sz w:val="18"/>
              </w:rPr>
              <w:t>Project check</w:t>
            </w:r>
          </w:p>
        </w:tc>
        <w:tc>
          <w:tcPr>
            <w:tcW w:type="dxa" w:w="5083"/>
            <w:vAlign w:val="center"/>
          </w:tcPr>
          <w:p>
            <w:r>
              <w:rPr>
                <w:sz w:val="18"/>
              </w:rPr>
              <w:t>Approved country/region, outgoing flow, student category and budget</w:t>
            </w:r>
          </w:p>
        </w:tc>
      </w:tr>
      <w:tr>
        <w:tc>
          <w:tcPr>
            <w:tcW w:type="dxa" w:w="5083"/>
            <w:vAlign w:val="center"/>
          </w:tcPr>
          <w:p>
            <w:r>
              <w:rPr>
                <w:sz w:val="18"/>
              </w:rPr>
              <w:t>Documents</w:t>
            </w:r>
          </w:p>
        </w:tc>
        <w:tc>
          <w:tcPr>
            <w:tcW w:type="dxa" w:w="5083"/>
            <w:vAlign w:val="center"/>
          </w:tcPr>
          <w:p>
            <w:r>
              <w:rPr>
                <w:sz w:val="18"/>
              </w:rPr>
              <w:t>LA for Traineeships + Grant Agreement + Traineeship Certificate</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