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color w:val="5A5A5A"/>
          <w:sz w:val="18"/>
        </w:rPr>
      </w:r>
    </w:p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KA171-HED – MOBILNOSTI STUDENATA</w:t>
      </w:r>
    </w:p>
    <w:p>
      <w:pPr>
        <w:spacing w:after="80"/>
        <w:jc w:val="center"/>
      </w:pPr>
      <w:r>
        <w:rPr>
          <w:i/>
          <w:sz w:val="22"/>
        </w:rPr>
        <w:t>Outgoing i incoming: studiranje, stručna praksa i međunarodna kreditna mobilnost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I. OSNOV I PARTNERSTVO</w:t>
      </w:r>
    </w:p>
    <w:p>
      <w:pPr>
        <w:pStyle w:val="Article"/>
        <w:spacing w:after="80"/>
      </w:pPr>
      <w:r>
        <w:t>Član 1. – Predmet</w:t>
      </w:r>
    </w:p>
    <w:p>
      <w:pPr>
        <w:spacing w:after="80"/>
      </w:pPr>
      <w:r>
        <w:t>Ova procedura uređuje outgoing i incoming studentske mobilnosti koje Melius Academy realizuje kroz KA171-HED sa visokoškolskim ustanovama iz trećih zemalja koje nisu pridružene Programu, u okviru odobrenih regiona, tokova i budžeta projekta.</w:t>
      </w:r>
    </w:p>
    <w:p>
      <w:pPr>
        <w:pStyle w:val="Article"/>
        <w:spacing w:after="80"/>
      </w:pPr>
      <w:r>
        <w:t>Član 2. – Preduslovi</w:t>
      </w:r>
    </w:p>
    <w:p>
      <w:pPr>
        <w:pStyle w:val="ListBullet"/>
        <w:spacing w:after="80"/>
      </w:pPr>
      <w:r>
        <w:t>Melius Academy poseduje važeći ECHE.</w:t>
      </w:r>
    </w:p>
    <w:p>
      <w:pPr>
        <w:pStyle w:val="ListBullet"/>
        <w:spacing w:after="80"/>
      </w:pPr>
      <w:r>
        <w:t>Partner je prihvatljiva i priznata visokoškolska ustanova u odgovarajućoj zemlji/regionu.</w:t>
      </w:r>
    </w:p>
    <w:p>
      <w:pPr>
        <w:pStyle w:val="ListBullet"/>
        <w:spacing w:after="80"/>
      </w:pPr>
      <w:r>
        <w:t>Postoji važeći inter-institutional agreement pre realizacije studijske mobilnosti.</w:t>
      </w:r>
    </w:p>
    <w:p>
      <w:pPr>
        <w:pStyle w:val="ListBullet"/>
        <w:spacing w:after="80"/>
      </w:pPr>
      <w:r>
        <w:t>Mobilnost je u skladu sa odobrenim KA171 projektom, regionom, tokom, kategorijom i raspoloživim budžetom.</w:t>
      </w:r>
    </w:p>
    <w:p>
      <w:pPr>
        <w:pStyle w:val="ListBullet"/>
        <w:spacing w:after="80"/>
      </w:pPr>
      <w:r>
        <w:t>Niko ne može dobiti konačnu potvrdu finansiranja pre provere projektnog okvira i potpisivanja Grant Agreement-a.</w:t>
      </w:r>
    </w:p>
    <w:p>
      <w:pPr>
        <w:pStyle w:val="Heading1"/>
        <w:spacing w:after="80"/>
      </w:pPr>
      <w:r>
        <w:t>II. OUTGOING KA171 – STUDIRANJE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Provera odobrenog regiona, partnerske HEI, IIA, toka outgoing, kvote i budžeta.</w:t>
      </w:r>
    </w:p>
    <w:p>
      <w:pPr>
        <w:spacing w:after="80"/>
      </w:pPr>
      <w:r>
        <w:rPr>
          <w:b/>
        </w:rPr>
        <w:t xml:space="preserve">Korak 2. </w:t>
      </w:r>
      <w:r>
        <w:t>Objava konkursa sa informacijom o zemlji, partneru, nivou studija, trajanju i kriterijumima.</w:t>
      </w:r>
    </w:p>
    <w:p>
      <w:pPr>
        <w:spacing w:after="80"/>
      </w:pPr>
      <w:r>
        <w:rPr>
          <w:b/>
        </w:rPr>
        <w:t xml:space="preserve">Korak 3. </w:t>
      </w:r>
      <w:r>
        <w:t>Prijava kandidata i administrativna provera.</w:t>
      </w:r>
    </w:p>
    <w:p>
      <w:pPr>
        <w:spacing w:after="80"/>
      </w:pPr>
      <w:r>
        <w:rPr>
          <w:b/>
        </w:rPr>
        <w:t xml:space="preserve">Korak 4. </w:t>
      </w:r>
      <w:r>
        <w:t>Bodovanje, preliminarna lista, prigovor i konačna lista.</w:t>
      </w:r>
    </w:p>
    <w:p>
      <w:pPr>
        <w:spacing w:after="80"/>
      </w:pPr>
      <w:r>
        <w:rPr>
          <w:b/>
        </w:rPr>
        <w:t xml:space="preserve">Korak 5. </w:t>
      </w:r>
      <w:r>
        <w:t>Nominacija studentu/partneru i application kod receiving HEI.</w:t>
      </w:r>
    </w:p>
    <w:p>
      <w:pPr>
        <w:spacing w:after="80"/>
      </w:pPr>
      <w:r>
        <w:rPr>
          <w:b/>
        </w:rPr>
        <w:t xml:space="preserve">Korak 6. </w:t>
      </w:r>
      <w:r>
        <w:t>Priprema KA171 Learning Agreement for Studies uz unapred definisano priznanje.</w:t>
      </w:r>
    </w:p>
    <w:p>
      <w:pPr>
        <w:spacing w:after="80"/>
      </w:pPr>
      <w:r>
        <w:rPr>
          <w:b/>
        </w:rPr>
        <w:t xml:space="preserve">Korak 7. </w:t>
      </w:r>
      <w:r>
        <w:t>Provera vize, putnih uslova, osiguranja, sigurnosnih preporuka i praktičnih pitanja.</w:t>
      </w:r>
    </w:p>
    <w:p>
      <w:pPr>
        <w:spacing w:after="80"/>
      </w:pPr>
      <w:r>
        <w:rPr>
          <w:b/>
        </w:rPr>
        <w:t xml:space="preserve">Korak 8. </w:t>
      </w:r>
      <w:r>
        <w:t>Grant Agreement i isplata prema projektu.</w:t>
      </w:r>
    </w:p>
    <w:p>
      <w:pPr>
        <w:spacing w:after="80"/>
      </w:pPr>
      <w:r>
        <w:rPr>
          <w:b/>
        </w:rPr>
        <w:t xml:space="preserve">Korak 9. </w:t>
      </w:r>
      <w:r>
        <w:t>Praćenje mobilnosti i formalno odobravanje izmena LA.</w:t>
      </w:r>
    </w:p>
    <w:p>
      <w:pPr>
        <w:spacing w:after="80"/>
      </w:pPr>
      <w:r>
        <w:rPr>
          <w:b/>
        </w:rPr>
        <w:t xml:space="preserve">Korak 10. </w:t>
      </w:r>
      <w:r>
        <w:t>Po povratku: Transcript, potvrda perioda, Participant Report, konačni obračun i akademsko priznanje.</w:t>
      </w:r>
    </w:p>
    <w:p>
      <w:pPr>
        <w:pStyle w:val="Heading1"/>
        <w:spacing w:after="80"/>
      </w:pPr>
      <w:r>
        <w:t>III. OUTGOING KA171 – STRUČNA PRAKSA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Provera da je traineeship prihvatljiv u odobrenom KA171 toku.</w:t>
      </w:r>
    </w:p>
    <w:p>
      <w:pPr>
        <w:spacing w:after="80"/>
      </w:pPr>
      <w:r>
        <w:rPr>
          <w:b/>
        </w:rPr>
        <w:t xml:space="preserve">Korak 2. </w:t>
      </w:r>
      <w:r>
        <w:t>Izbor host organizacije i definisanje zadataka i ishoda.</w:t>
      </w:r>
    </w:p>
    <w:p>
      <w:pPr>
        <w:spacing w:after="80"/>
      </w:pPr>
      <w:r>
        <w:rPr>
          <w:b/>
        </w:rPr>
        <w:t xml:space="preserve">Korak 3. </w:t>
      </w:r>
      <w:r>
        <w:t>Selekcija kandidata prema konkursu.</w:t>
      </w:r>
    </w:p>
    <w:p>
      <w:pPr>
        <w:spacing w:after="80"/>
      </w:pPr>
      <w:r>
        <w:rPr>
          <w:b/>
        </w:rPr>
        <w:t xml:space="preserve">Korak 4. </w:t>
      </w:r>
      <w:r>
        <w:t>Learning Agreement for Traineeships definiše program, monitoring, evaluaciju i priznanje.</w:t>
      </w:r>
    </w:p>
    <w:p>
      <w:pPr>
        <w:spacing w:after="80"/>
      </w:pPr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spacing w:after="80"/>
      </w:pPr>
      <w:r>
        <w:rPr>
          <w:b/>
        </w:rPr>
        <w:t xml:space="preserve">Korak 6. </w:t>
      </w:r>
      <w:r>
        <w:t>Provera odgovarajućeg zdravstvenog, liability i accident osiguranja prema riziku aktivnosti.</w:t>
      </w:r>
    </w:p>
    <w:p>
      <w:pPr>
        <w:spacing w:after="80"/>
      </w:pPr>
      <w:r>
        <w:rPr>
          <w:b/>
        </w:rPr>
        <w:t xml:space="preserve">Korak 7. </w:t>
      </w:r>
      <w:r>
        <w:t>Grant Agreement, viza/boravak i putna priprema.</w:t>
      </w:r>
    </w:p>
    <w:p>
      <w:pPr>
        <w:spacing w:after="80"/>
      </w:pPr>
      <w:r>
        <w:rPr>
          <w:b/>
        </w:rPr>
        <w:t xml:space="preserve">Korak 8. </w:t>
      </w:r>
      <w:r>
        <w:t>Monitoring tokom mobilnosti.</w:t>
      </w:r>
    </w:p>
    <w:p>
      <w:pPr>
        <w:spacing w:after="80"/>
      </w:pPr>
      <w:r>
        <w:rPr>
          <w:b/>
        </w:rPr>
        <w:t xml:space="preserve">Korak 9. </w:t>
      </w:r>
      <w:r>
        <w:t>Traineeship Certificate i akademsko priznanje po povratku.</w:t>
      </w:r>
    </w:p>
    <w:p>
      <w:pPr>
        <w:pStyle w:val="Heading1"/>
        <w:spacing w:after="80"/>
      </w:pPr>
      <w:r>
        <w:t>IV. INCOMING KA171 – STUDIRANJE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Partner dostavlja nominaciju samo za tok i kvotu obuhvaćenu projektom.</w:t>
      </w:r>
    </w:p>
    <w:p>
      <w:pPr>
        <w:spacing w:after="80"/>
      </w:pPr>
      <w:r>
        <w:rPr>
          <w:b/>
        </w:rPr>
        <w:t xml:space="preserve">Korak 2. </w:t>
      </w:r>
      <w:r>
        <w:t>Melius Academy proverava partnera, IIA, oblast, nivo studija i raspoloživa sredstva.</w:t>
      </w:r>
    </w:p>
    <w:p>
      <w:pPr>
        <w:spacing w:after="80"/>
      </w:pPr>
      <w:r>
        <w:rPr>
          <w:b/>
        </w:rPr>
        <w:t xml:space="preserve">Korak 3. </w:t>
      </w:r>
      <w:r>
        <w:t>Student dobija application paket, Course Catalogue, informaciju da se redovna nastava izvodi na srpskom jeziku, akademski kalendar i praktične informacije.</w:t>
      </w:r>
    </w:p>
    <w:p>
      <w:pPr>
        <w:spacing w:after="80"/>
      </w:pPr>
      <w:r>
        <w:rPr>
          <w:b/>
        </w:rPr>
        <w:t xml:space="preserve">Korak 4. </w:t>
      </w:r>
      <w:r>
        <w:t>Student dostavlja application, Transcript i predlog KA171 Learning Agreement-a.</w:t>
      </w:r>
    </w:p>
    <w:p>
      <w:pPr>
        <w:spacing w:after="80"/>
      </w:pPr>
      <w:r>
        <w:rPr>
          <w:b/>
        </w:rPr>
        <w:t xml:space="preserve">Korak 5. </w:t>
      </w:r>
      <w:r>
        <w:t>Odsek proverava akademsku izvodljivost i odobrava plan.</w:t>
      </w:r>
    </w:p>
    <w:p>
      <w:pPr>
        <w:spacing w:after="80"/>
      </w:pPr>
      <w:r>
        <w:rPr>
          <w:b/>
        </w:rPr>
        <w:t xml:space="preserve">Korak 6. </w:t>
      </w:r>
      <w:r>
        <w:t>Melius Academy izdaje acceptance dokument i dokumenta iz svoje nadležnosti potrebna za vizu/boravak.</w:t>
      </w:r>
    </w:p>
    <w:p>
      <w:pPr>
        <w:spacing w:after="80"/>
      </w:pPr>
      <w:r>
        <w:rPr>
          <w:b/>
        </w:rPr>
        <w:t xml:space="preserve">Korak 7. </w:t>
      </w:r>
      <w:r>
        <w:t>Uređuje se Grant Agreement sa stranom koja je prema projektu odgovorna za isplatu učesniku.</w:t>
      </w:r>
    </w:p>
    <w:p>
      <w:pPr>
        <w:spacing w:after="80"/>
      </w:pPr>
      <w:r>
        <w:rPr>
          <w:b/>
        </w:rPr>
        <w:t xml:space="preserve">Korak 8. </w:t>
      </w:r>
      <w:r>
        <w:t>Po dolasku: registracija, orientation, kontakt mentor/koordinator, akademski pristup.</w:t>
      </w:r>
    </w:p>
    <w:p>
      <w:pPr>
        <w:spacing w:after="80"/>
      </w:pPr>
      <w:r>
        <w:rPr>
          <w:b/>
        </w:rPr>
        <w:t xml:space="preserve">Korak 9. </w:t>
      </w:r>
      <w:r>
        <w:t>Tokom: nastava, monitoring i odobravanje izmena.</w:t>
      </w:r>
    </w:p>
    <w:p>
      <w:pPr>
        <w:spacing w:after="80"/>
      </w:pPr>
      <w:r>
        <w:rPr>
          <w:b/>
        </w:rPr>
        <w:t xml:space="preserve">Korak 10. </w:t>
      </w:r>
      <w:r>
        <w:t>Završetak: Transcript of Records, potvrda perioda, Participant Report i projektno izveštavanje.</w:t>
      </w:r>
    </w:p>
    <w:p>
      <w:pPr>
        <w:pStyle w:val="Heading1"/>
        <w:spacing w:after="80"/>
      </w:pPr>
      <w:r>
        <w:t>V. INCOMING KA171 – STRUČNA PRAKSA</w:t>
      </w:r>
    </w:p>
    <w:p>
      <w:pPr>
        <w:pStyle w:val="Heading3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Provera projektnog osnova za incoming traineeship.</w:t>
      </w:r>
    </w:p>
    <w:p>
      <w:pPr>
        <w:spacing w:after="80"/>
      </w:pPr>
      <w:r>
        <w:rPr>
          <w:b/>
        </w:rPr>
        <w:t xml:space="preserve">Korak 2. </w:t>
      </w:r>
      <w:r>
        <w:t>Nominacija/prijava i provera statusa studenta.</w:t>
      </w:r>
    </w:p>
    <w:p>
      <w:pPr>
        <w:spacing w:after="80"/>
      </w:pPr>
      <w:r>
        <w:rPr>
          <w:b/>
        </w:rPr>
        <w:t xml:space="preserve">Korak 3. </w:t>
      </w:r>
      <w:r>
        <w:t>Melius Academy određuje host jedinicu ili prihvatljivog eksternog hosta u skladu sa projektom.</w:t>
      </w:r>
    </w:p>
    <w:p>
      <w:pPr>
        <w:spacing w:after="80"/>
      </w:pPr>
      <w:r>
        <w:rPr>
          <w:b/>
        </w:rPr>
        <w:t xml:space="preserve">Korak 4. </w:t>
      </w:r>
      <w:r>
        <w:t>LA for Traineeships definiše konkretne zadatke, rezultate, mentorstvo i evaluaciju.</w:t>
      </w:r>
    </w:p>
    <w:p>
      <w:pPr>
        <w:spacing w:after="80"/>
      </w:pPr>
      <w:r>
        <w:rPr>
          <w:b/>
        </w:rPr>
        <w:t xml:space="preserve">Korak 5. </w:t>
      </w:r>
      <w:r>
        <w:t>Student dobija dokumenta za vizu/boravak i informacije o osiguranju.</w:t>
      </w:r>
    </w:p>
    <w:p>
      <w:pPr>
        <w:spacing w:after="80"/>
      </w:pPr>
      <w:r>
        <w:rPr>
          <w:b/>
        </w:rPr>
        <w:t xml:space="preserve">Korak 6. </w:t>
      </w:r>
      <w:r>
        <w:t>Po dolasku se sprovodi registracija i safety/workplace induction.</w:t>
      </w:r>
    </w:p>
    <w:p>
      <w:pPr>
        <w:spacing w:after="80"/>
      </w:pPr>
      <w:r>
        <w:rPr>
          <w:b/>
        </w:rPr>
        <w:t xml:space="preserve">Korak 7. </w:t>
      </w:r>
      <w:r>
        <w:t>Mentor prati realizaciju.</w:t>
      </w:r>
    </w:p>
    <w:p>
      <w:pPr>
        <w:spacing w:after="80"/>
      </w:pPr>
      <w:r>
        <w:rPr>
          <w:b/>
        </w:rPr>
        <w:t xml:space="preserve">Korak 8. </w:t>
      </w:r>
      <w:r>
        <w:t>Po završetku se izdaje Traineeship Certificate i dokumentacija za sending HEI.</w:t>
      </w:r>
    </w:p>
    <w:p>
      <w:pPr>
        <w:pStyle w:val="Heading1"/>
        <w:spacing w:after="80"/>
      </w:pPr>
      <w:r>
        <w:t>VI. KA171 I BIP</w:t>
      </w:r>
    </w:p>
    <w:p>
      <w:pPr>
        <w:pStyle w:val="Article"/>
        <w:spacing w:after="80"/>
      </w:pPr>
      <w:r>
        <w:t>Član 3. – Učešće KA171 studenta u BIP-u</w:t>
      </w:r>
    </w:p>
    <w:p>
      <w:pPr>
        <w:spacing w:after="80"/>
      </w:pPr>
      <w:r>
        <w:t>Organizaciona podrška za BIP ne finansira se iz KA171 external policy funds. Ipak, incoming student iz treće zemlje koja nije pridružena Programu može, kada su ispunjeni projektni uslovi i postoji odgovarajući KA171 incoming budžet, koristiti KA171 mobilnost za fizičko učešće u BIP-u koji je organizovan u odgovarajućem KA131 okviru. Fizička komponenta traje 5–30 dana, virtuelna komponenta je obavezna, a student ostvaruje najmanje 3 ECTS/ESPB.</w:t>
      </w:r>
    </w:p>
    <w:p>
      <w:pPr>
        <w:spacing w:after="80"/>
      </w:pPr>
      <w:r>
        <w:t>Takav učesnik se administrativno vodi prema pravilima izvora finansiranja njegove mobilnosti i pravilima konkretnog BIP-a.</w:t>
      </w:r>
    </w:p>
    <w:p>
      <w:pPr>
        <w:pStyle w:val="Heading1"/>
        <w:spacing w:after="80"/>
      </w:pPr>
      <w:r>
        <w:t>VII. POSEBNE KA171 KONTROLE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3389"/>
            <w:shd w:fill="D9EAF7"/>
          </w:tcPr>
          <w:p>
            <w:r>
              <w:rPr>
                <w:b/>
                <w:sz w:val="18"/>
              </w:rPr>
              <w:t>Kontrola</w:t>
            </w:r>
          </w:p>
        </w:tc>
        <w:tc>
          <w:tcPr>
            <w:tcW w:type="dxa" w:w="3389"/>
            <w:shd w:fill="D9EAF7"/>
          </w:tcPr>
          <w:p>
            <w:r>
              <w:rPr>
                <w:b/>
                <w:sz w:val="18"/>
              </w:rPr>
              <w:t>Odgovorno lice</w:t>
            </w:r>
          </w:p>
        </w:tc>
        <w:tc>
          <w:tcPr>
            <w:tcW w:type="dxa" w:w="3389"/>
            <w:shd w:fill="D9EAF7"/>
          </w:tcPr>
          <w:p>
            <w:r>
              <w:rPr>
                <w:b/>
                <w:sz w:val="18"/>
              </w:rPr>
              <w:t>Dokaz</w:t>
            </w:r>
          </w:p>
        </w:tc>
      </w:tr>
      <w:tr>
        <w:tc>
          <w:tcPr>
            <w:tcW w:type="dxa" w:w="3389"/>
            <w:vAlign w:val="center"/>
          </w:tcPr>
          <w:p>
            <w:r>
              <w:t>Region i zemlja odobreni projektom</w:t>
            </w:r>
          </w:p>
        </w:tc>
        <w:tc>
          <w:tcPr>
            <w:tcW w:type="dxa" w:w="3389"/>
            <w:vAlign w:val="center"/>
          </w:tcPr>
          <w:p>
            <w:r>
              <w:t>Erasmus koordinator</w:t>
            </w:r>
          </w:p>
        </w:tc>
        <w:tc>
          <w:tcPr>
            <w:tcW w:type="dxa" w:w="3389"/>
            <w:vAlign w:val="center"/>
          </w:tcPr>
          <w:p>
            <w:r>
              <w:t>projekat/ugovor</w:t>
            </w:r>
          </w:p>
        </w:tc>
      </w:tr>
      <w:tr>
        <w:tc>
          <w:tcPr>
            <w:tcW w:type="dxa" w:w="3389"/>
            <w:vAlign w:val="center"/>
          </w:tcPr>
          <w:p>
            <w:r>
              <w:t>Smer toka incoming/outgoing</w:t>
            </w:r>
          </w:p>
        </w:tc>
        <w:tc>
          <w:tcPr>
            <w:tcW w:type="dxa" w:w="3389"/>
            <w:vAlign w:val="center"/>
          </w:tcPr>
          <w:p>
            <w:r>
              <w:t>Erasmus koordinator</w:t>
            </w:r>
          </w:p>
        </w:tc>
        <w:tc>
          <w:tcPr>
            <w:tcW w:type="dxa" w:w="3389"/>
            <w:vAlign w:val="center"/>
          </w:tcPr>
          <w:p>
            <w:r>
              <w:t>odobreni budget allocation</w:t>
            </w:r>
          </w:p>
        </w:tc>
      </w:tr>
      <w:tr>
        <w:tc>
          <w:tcPr>
            <w:tcW w:type="dxa" w:w="3389"/>
            <w:vAlign w:val="center"/>
          </w:tcPr>
          <w:p>
            <w:r>
              <w:t>Partner i IIA</w:t>
            </w:r>
          </w:p>
        </w:tc>
        <w:tc>
          <w:tcPr>
            <w:tcW w:type="dxa" w:w="3389"/>
            <w:vAlign w:val="center"/>
          </w:tcPr>
          <w:p>
            <w:r>
              <w:t>Erasmus koordinator</w:t>
            </w:r>
          </w:p>
        </w:tc>
        <w:tc>
          <w:tcPr>
            <w:tcW w:type="dxa" w:w="3389"/>
            <w:vAlign w:val="center"/>
          </w:tcPr>
          <w:p>
            <w:r>
              <w:t>IIA</w:t>
            </w:r>
          </w:p>
        </w:tc>
      </w:tr>
      <w:tr>
        <w:tc>
          <w:tcPr>
            <w:tcW w:type="dxa" w:w="3389"/>
            <w:vAlign w:val="center"/>
          </w:tcPr>
          <w:p>
            <w:r>
              <w:t>Status studenta</w:t>
            </w:r>
          </w:p>
        </w:tc>
        <w:tc>
          <w:tcPr>
            <w:tcW w:type="dxa" w:w="3389"/>
            <w:vAlign w:val="center"/>
          </w:tcPr>
          <w:p>
            <w:r>
              <w:t>sending HEI / student</w:t>
            </w:r>
          </w:p>
        </w:tc>
        <w:tc>
          <w:tcPr>
            <w:tcW w:type="dxa" w:w="3389"/>
            <w:vAlign w:val="center"/>
          </w:tcPr>
          <w:p>
            <w:r>
              <w:t>nomination/enrolment proof</w:t>
            </w:r>
          </w:p>
        </w:tc>
      </w:tr>
      <w:tr>
        <w:tc>
          <w:tcPr>
            <w:tcW w:type="dxa" w:w="3389"/>
            <w:vAlign w:val="center"/>
          </w:tcPr>
          <w:p>
            <w:r>
              <w:t>Akademska podobnost</w:t>
            </w:r>
          </w:p>
        </w:tc>
        <w:tc>
          <w:tcPr>
            <w:tcW w:type="dxa" w:w="3389"/>
            <w:vAlign w:val="center"/>
          </w:tcPr>
          <w:p>
            <w:r>
              <w:t>odsek</w:t>
            </w:r>
          </w:p>
        </w:tc>
        <w:tc>
          <w:tcPr>
            <w:tcW w:type="dxa" w:w="3389"/>
            <w:vAlign w:val="center"/>
          </w:tcPr>
          <w:p>
            <w:r>
              <w:t>odobren LA</w:t>
            </w:r>
          </w:p>
        </w:tc>
      </w:tr>
      <w:tr>
        <w:tc>
          <w:tcPr>
            <w:tcW w:type="dxa" w:w="3389"/>
            <w:vAlign w:val="center"/>
          </w:tcPr>
          <w:p>
            <w:r>
              <w:t>Grant i trajanje</w:t>
            </w:r>
          </w:p>
        </w:tc>
        <w:tc>
          <w:tcPr>
            <w:tcW w:type="dxa" w:w="3389"/>
            <w:vAlign w:val="center"/>
          </w:tcPr>
          <w:p>
            <w:r>
              <w:t>koordinator + finansije</w:t>
            </w:r>
          </w:p>
        </w:tc>
        <w:tc>
          <w:tcPr>
            <w:tcW w:type="dxa" w:w="3389"/>
            <w:vAlign w:val="center"/>
          </w:tcPr>
          <w:p>
            <w:r>
              <w:t>Grant Agreement</w:t>
            </w:r>
          </w:p>
        </w:tc>
      </w:tr>
      <w:tr>
        <w:tc>
          <w:tcPr>
            <w:tcW w:type="dxa" w:w="3389"/>
            <w:vAlign w:val="center"/>
          </w:tcPr>
          <w:p>
            <w:r>
              <w:t>Završetak</w:t>
            </w:r>
          </w:p>
        </w:tc>
        <w:tc>
          <w:tcPr>
            <w:tcW w:type="dxa" w:w="3389"/>
            <w:vAlign w:val="center"/>
          </w:tcPr>
          <w:p>
            <w:r>
              <w:t>student + partner</w:t>
            </w:r>
          </w:p>
        </w:tc>
        <w:tc>
          <w:tcPr>
            <w:tcW w:type="dxa" w:w="3389"/>
            <w:vAlign w:val="center"/>
          </w:tcPr>
          <w:p>
            <w:r>
              <w:t>Transcript/Certificate</w:t>
            </w:r>
          </w:p>
        </w:tc>
      </w:tr>
    </w:tbl>
    <w:p>
      <w:pPr>
        <w:pStyle w:val="Heading1"/>
        <w:spacing w:after="80"/>
      </w:pPr>
      <w:r>
        <w:t>Programski izvori</w:t>
      </w:r>
    </w:p>
    <w:p>
      <w:pPr>
        <w:pStyle w:val="ListBullet"/>
        <w:spacing w:after="80"/>
      </w:pPr>
      <w:r>
        <w:t>Erasmus+ Programme Guide 2026 – Mobility projects for higher education students and staff (KA131-HED / KA171-HED).</w:t>
      </w:r>
    </w:p>
    <w:p>
      <w:pPr>
        <w:pStyle w:val="ListBullet"/>
        <w:spacing w:after="80"/>
      </w:pPr>
      <w:r>
        <w:t>Erasmus Charter for Higher Education (ECHE) 2021–2027 i ECHE quality principles.</w:t>
      </w:r>
    </w:p>
    <w:p>
      <w:pPr>
        <w:pStyle w:val="ListBullet"/>
        <w:spacing w:after="80"/>
      </w:pPr>
      <w:r>
        <w:t>Erasmus+ Student Charter.</w:t>
      </w:r>
    </w:p>
    <w:p>
      <w:pPr>
        <w:pStyle w:val="ListBullet"/>
        <w:spacing w:after="80"/>
      </w:pPr>
      <w:r>
        <w:t>Važeći Learning Agreement obrasci i smernice za Studies i Traineeships (KA131/KA171).</w:t>
      </w:r>
    </w:p>
    <w:p>
      <w:pPr>
        <w:pStyle w:val="ListBullet"/>
        <w:spacing w:after="80"/>
      </w:pPr>
      <w:r>
        <w:t>Važeći Mobility Agreement obrasci za Staff Mobility for Teaching i Staff Mobility for Training.</w:t>
      </w:r>
    </w:p>
    <w:p>
      <w:pPr>
        <w:pStyle w:val="ListBullet"/>
        <w:spacing w:after="80"/>
      </w:pPr>
      <w:r>
        <w:t>Važeći Grant Agreement, Beneficiary Module pravila i nacionalna pravila Fondacije Tempus za konkretnu projektnu godinu.</w:t>
      </w:r>
    </w:p>
    <w:p>
      <w:pPr>
        <w:spacing w:after="80"/>
      </w:pPr>
      <w:r>
        <w:t>Promenljivi iznosi grantova, top-up podrške i putnih troškova ne utvrđuju se ovim dokumentom, već se primenjuju prema važećem projektu i pravilima za konkretnu godinu poziva.</w:t>
      </w:r>
    </w:p>
    <w:p>
      <w:pPr>
        <w:pStyle w:val="Heading1"/>
        <w:spacing w:after="80"/>
      </w:pPr>
      <w:r>
        <w:t>Dodatna KA171 provera</w:t>
      </w:r>
    </w:p>
    <w:p>
      <w:pPr>
        <w:spacing w:after="80"/>
      </w:pPr>
      <w:r>
        <w:t>Pre svake KA171 mobilnosti Erasmus koordinator proverava konkretan odobreni projekat: zemlju/region, incoming/outgoing smer, kategoriju učesnika, studijski ciklus, trajanje i raspoloživi budžet. Opšta dozvoljenost aktivnosti u Programme Guide-u sama po sebi nije dovoljna.</w:t>
      </w:r>
    </w:p>
    <w:p>
      <w:pPr>
        <w:spacing w:after="80"/>
      </w:pPr>
      <w:r>
        <w:br w:type="page"/>
      </w:r>
    </w:p>
    <w:p>
      <w:pPr>
        <w:spacing w:after="80"/>
      </w:pPr>
      <w:r>
        <w:t>Pre svakog konkretnog KA171 slučaja Melius Academy proverava važeći Programme Guide 2026, odobrenu projektnu prijavu i Grant Agreement, jer opšta prihvatljivost vrste aktivnosti ne znači automatski da je svaki smer mobilnosti finansijski i projektno dozvoljen.</w:t>
      </w:r>
    </w:p>
    <w:p>
      <w:pPr>
        <w:spacing w:after="80"/>
      </w:pPr>
      <w:r>
        <w:t>Za mobilnosti finansirane iz external policy funds, odlazne mobilnosti studenata kratkog, prvog i drugog ciklusa prema zemljama koje ispunjavaju uslove za zvaničnu razvojnu pomoć (ODA) u regionima 2–11 ograničene su: kroz ovaj izvor finansiranja podržava se dolazna studentska mobilnost iz tih zemalja, dok su odlazne mobilnosti prema tim regionima dostupne studentima doktorskog nivoa i osoblju.</w:t>
      </w:r>
    </w:p>
    <w:p>
      <w:pPr>
        <w:pStyle w:val="Heading1"/>
        <w:spacing w:after="80"/>
      </w:pPr>
      <w:r>
        <w:t>VIII. OGRANIČENJA ZA ODREĐENE KA171 OUTGOING TOKOVE</w:t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/>
      <w:r>
        <w:t>Za stručnu praksu koja se akademski priznaje u okviru studijskog programa Melius Academy primenjuje se interni minimum od 3 ESPB. Konačnu odluku o broju ESPB i načinu priznavanja donosi ESPB/ECTS koordinator na osnovu Learning Agreement-a, ishoda učenja, obima aktivnosti i važećeg studijskog programa. Ovo je interni akademski standard ustanove, a ne opšti Erasmus+ minimum za sve stručne prakse.</w:t>
      </w:r>
    </w:p>
    <w:p>
      <w:pPr>
        <w:pStyle w:val="Heading1"/>
      </w:pPr>
      <w:r>
        <w:t>ESPB/ECTS priznavanje stručne prakse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primene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Marko Jovanović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Mobilnost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KA171 outgoing traineeship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Provera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Odobren region, outgoing smer, studentska kategorija i budžet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Dokumenti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LA for Traineeships + Grant Agreement + Traineeship Certificate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