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color w:val="5A5A5A"/>
          <w:sz w:val="18"/>
        </w:rPr>
      </w:r>
    </w:p>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KA131/KA171-HED – STAFF MOBILITY</w:t>
      </w:r>
    </w:p>
    <w:p>
      <w:pPr>
        <w:spacing w:after="80"/>
        <w:jc w:val="center"/>
      </w:pPr>
      <w:r>
        <w:rPr>
          <w:i/>
          <w:sz w:val="22"/>
        </w:rPr>
        <w:t>STA and STT, incoming and outgoing</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I. SCOPE</w:t>
      </w:r>
    </w:p>
    <w:p>
      <w:pPr>
        <w:spacing w:after="80"/>
      </w:pPr>
      <w:r>
        <w:t>This procedure regulates incoming and outgoing staff mobility for teaching (STA) and training (STT) under KA131-HED and KA171-HED.</w:t>
      </w:r>
    </w:p>
    <w:p>
      <w:pPr>
        <w:pStyle w:val="Heading1"/>
        <w:spacing w:after="80"/>
      </w:pPr>
      <w:r>
        <w:t>II. DURATION AND TEACHING HOURS</w:t>
      </w:r>
    </w:p>
    <w:p>
      <w:pPr>
        <w:spacing w:after="80"/>
      </w:pPr>
      <w:r>
        <w:t>For mobility among EU Member States and countries associated to the Programme, staff mobility for teaching/training lasts 2–60 days of physical mobility, excluding travel time. For mobility involving third countries not associated to the Programme, the duration is 5–60 days. The minimum days must be consecutive.</w:t>
      </w:r>
    </w:p>
    <w:p>
      <w:pPr>
        <w:spacing w:after="80"/>
      </w:pPr>
      <w:r>
        <w:t>STA normally comprises at least 8 teaching hours per week or any shorter period. Where teaching is combined with training in one mobility period, the minimum teaching load is reduced to 4 hours per week or shorter period. Different rules apply to invited staff from enterprises.</w:t>
      </w:r>
    </w:p>
    <w:p>
      <w:pPr>
        <w:pStyle w:val="Heading1"/>
        <w:spacing w:after="80"/>
      </w:pPr>
      <w:r>
        <w:t>III. OUTGOING STA</w:t>
      </w:r>
    </w:p>
    <w:p>
      <w:pPr>
        <w:pStyle w:val="Heading2"/>
        <w:spacing w:after="80"/>
      </w:pPr>
      <w:r>
        <w:t>Procedure</w:t>
      </w:r>
    </w:p>
    <w:p>
      <w:pPr>
        <w:spacing w:after="80"/>
      </w:pPr>
      <w:r>
        <w:rPr>
          <w:b/>
        </w:rPr>
        <w:t xml:space="preserve">Step 1. </w:t>
      </w:r>
      <w:r>
        <w:t>Verify the project, IIA/partner basis, eligible field and available budget.</w:t>
      </w:r>
    </w:p>
    <w:p>
      <w:pPr>
        <w:spacing w:after="80"/>
      </w:pPr>
      <w:r>
        <w:rPr>
          <w:b/>
        </w:rPr>
        <w:t xml:space="preserve">Step 2. </w:t>
      </w:r>
      <w:r>
        <w:t>Publish the call or apply the approved selection procedure. Selection criteria and weighting are defined in the call.</w:t>
      </w:r>
    </w:p>
    <w:p>
      <w:pPr>
        <w:spacing w:after="80"/>
      </w:pPr>
      <w:r>
        <w:rPr>
          <w:b/>
        </w:rPr>
        <w:t xml:space="preserve">Step 3. </w:t>
      </w:r>
      <w:r>
        <w:t>Agree the teaching programme, objectives, added value, expected outcomes and teaching hours with the receiving HEI.</w:t>
      </w:r>
    </w:p>
    <w:p>
      <w:pPr>
        <w:spacing w:after="80"/>
      </w:pPr>
      <w:r>
        <w:rPr>
          <w:b/>
        </w:rPr>
        <w:t xml:space="preserve">Step 4. </w:t>
      </w:r>
      <w:r>
        <w:t>Sign the Mobility Agreement for Teaching.</w:t>
      </w:r>
    </w:p>
    <w:p>
      <w:pPr>
        <w:spacing w:after="80"/>
      </w:pPr>
      <w:r>
        <w:rPr>
          <w:b/>
        </w:rPr>
        <w:t xml:space="preserve">Step 5. </w:t>
      </w:r>
      <w:r>
        <w:t>Complete the Grant Agreement, travel, insurance and practical arrangements.</w:t>
      </w:r>
    </w:p>
    <w:p>
      <w:pPr>
        <w:spacing w:after="80"/>
      </w:pPr>
      <w:r>
        <w:rPr>
          <w:b/>
        </w:rPr>
        <w:t xml:space="preserve">Step 6. </w:t>
      </w:r>
      <w:r>
        <w:t>Deliver the agreed teaching and obtain a confirmation specifying dates and teaching activity.</w:t>
      </w:r>
    </w:p>
    <w:p>
      <w:pPr>
        <w:spacing w:after="80"/>
      </w:pPr>
      <w:r>
        <w:rPr>
          <w:b/>
        </w:rPr>
        <w:t xml:space="preserve">Step 7. </w:t>
      </w:r>
      <w:r>
        <w:t>Complete Participant Report and dissemination/follow-up obligations.</w:t>
      </w:r>
    </w:p>
    <w:p>
      <w:pPr>
        <w:pStyle w:val="Heading1"/>
        <w:spacing w:after="80"/>
      </w:pPr>
      <w:r>
        <w:t>IV. OUTGOING STT</w:t>
      </w:r>
    </w:p>
    <w:p>
      <w:pPr>
        <w:pStyle w:val="Heading2"/>
        <w:spacing w:after="80"/>
      </w:pPr>
      <w:r>
        <w:t>Procedure</w:t>
      </w:r>
    </w:p>
    <w:p>
      <w:pPr>
        <w:spacing w:after="80"/>
      </w:pPr>
      <w:r>
        <w:rPr>
          <w:b/>
        </w:rPr>
        <w:t xml:space="preserve">Step 1. </w:t>
      </w:r>
      <w:r>
        <w:t>Identify a relevant training, job-shadowing, staff week or skills-development activity.</w:t>
      </w:r>
    </w:p>
    <w:p>
      <w:pPr>
        <w:spacing w:after="80"/>
      </w:pPr>
      <w:r>
        <w:rPr>
          <w:b/>
        </w:rPr>
        <w:t xml:space="preserve">Step 2. </w:t>
      </w:r>
      <w:r>
        <w:t>Confirm that the receiving organisation is eligible for the relevant KA131/KA171 flow.</w:t>
      </w:r>
    </w:p>
    <w:p>
      <w:pPr>
        <w:spacing w:after="80"/>
      </w:pPr>
      <w:r>
        <w:rPr>
          <w:b/>
        </w:rPr>
        <w:t xml:space="preserve">Step 3. </w:t>
      </w:r>
      <w:r>
        <w:t>Agree the objectives, programme and expected outcomes in the Mobility Agreement for Training.</w:t>
      </w:r>
    </w:p>
    <w:p>
      <w:pPr>
        <w:spacing w:after="80"/>
      </w:pPr>
      <w:r>
        <w:rPr>
          <w:b/>
        </w:rPr>
        <w:t xml:space="preserve">Step 4. </w:t>
      </w:r>
      <w:r>
        <w:t>Complete the Grant Agreement and practical arrangements.</w:t>
      </w:r>
    </w:p>
    <w:p>
      <w:pPr>
        <w:spacing w:after="80"/>
      </w:pPr>
      <w:r>
        <w:rPr>
          <w:b/>
        </w:rPr>
        <w:t xml:space="preserve">Step 5. </w:t>
      </w:r>
      <w:r>
        <w:t>Participate in the agreed programme and obtain evidence of attendance/stay.</w:t>
      </w:r>
    </w:p>
    <w:p>
      <w:pPr>
        <w:spacing w:after="80"/>
      </w:pPr>
      <w:r>
        <w:rPr>
          <w:b/>
        </w:rPr>
        <w:t xml:space="preserve">Step 6. </w:t>
      </w:r>
      <w:r>
        <w:t>Complete reporting and internal dissemination.</w:t>
      </w:r>
    </w:p>
    <w:p>
      <w:pPr>
        <w:pStyle w:val="Heading1"/>
        <w:spacing w:after="80"/>
      </w:pPr>
      <w:r>
        <w:t>V. INCOMING STA / STT</w:t>
      </w:r>
    </w:p>
    <w:p>
      <w:pPr>
        <w:spacing w:after="80"/>
      </w:pPr>
      <w:r>
        <w:t>For incoming staff, Melius Academy verifies the partner/project basis, agrees the Mobility Agreement, appoints a host contact, prepares the schedule, provides practical information and issues confirmation of the actual mobility period and activities.</w:t>
      </w:r>
    </w:p>
    <w:p>
      <w:pPr>
        <w:pStyle w:val="Heading1"/>
        <w:spacing w:after="80"/>
      </w:pPr>
      <w:r>
        <w:t>VI. SELECTION</w:t>
      </w:r>
    </w:p>
    <w:p>
      <w:pPr>
        <w:spacing w:after="80"/>
      </w:pPr>
      <w:r>
        <w:t>The specific criteria and weighting for staff selection are defined in each call. The committee may not introduce additional criteria after the call closes. Scoring is recorded in form OB-ER-04 using the criteria exactly as published.</w:t>
      </w:r>
    </w:p>
    <w:p>
      <w:pPr>
        <w:pStyle w:val="Heading1"/>
        <w:spacing w:after="80"/>
      </w:pPr>
      <w:r>
        <w:t>VII. FILE CONTENT</w:t>
      </w:r>
    </w:p>
    <w:p>
      <w:pPr>
        <w:pStyle w:val="ListBullet"/>
        <w:spacing w:after="80"/>
      </w:pPr>
      <w:r>
        <w:t>application and selection decision</w:t>
      </w:r>
    </w:p>
    <w:p>
      <w:pPr>
        <w:pStyle w:val="ListBullet"/>
        <w:spacing w:after="80"/>
      </w:pPr>
      <w:r>
        <w:t>Mobility Agreement for Teaching/Training</w:t>
      </w:r>
    </w:p>
    <w:p>
      <w:pPr>
        <w:pStyle w:val="ListBullet"/>
        <w:spacing w:after="80"/>
      </w:pPr>
      <w:r>
        <w:t>invitation/acceptance where relevant</w:t>
      </w:r>
    </w:p>
    <w:p>
      <w:pPr>
        <w:pStyle w:val="ListBullet"/>
        <w:spacing w:after="80"/>
      </w:pPr>
      <w:r>
        <w:t>Grant Agreement</w:t>
      </w:r>
    </w:p>
    <w:p>
      <w:pPr>
        <w:pStyle w:val="ListBullet"/>
        <w:spacing w:after="80"/>
      </w:pPr>
      <w:r>
        <w:t>travel/insurance documents as required</w:t>
      </w:r>
    </w:p>
    <w:p>
      <w:pPr>
        <w:pStyle w:val="ListBullet"/>
        <w:spacing w:after="80"/>
      </w:pPr>
      <w:r>
        <w:t>confirmation of stay/participation</w:t>
      </w:r>
    </w:p>
    <w:p>
      <w:pPr>
        <w:pStyle w:val="ListBullet"/>
        <w:spacing w:after="80"/>
      </w:pPr>
      <w:r>
        <w:t>Participant Report</w:t>
      </w:r>
    </w:p>
    <w:p>
      <w:pPr>
        <w:pStyle w:val="ListBullet"/>
        <w:spacing w:after="80"/>
      </w:pPr>
      <w:r>
        <w:t>dissemination record where required</w:t>
      </w:r>
    </w:p>
    <w:p>
      <w:pPr>
        <w:spacing w:after="80"/>
      </w:pPr>
      <w:r>
        <w:br w:type="page"/>
      </w:r>
    </w:p>
    <w:p>
      <w:pPr>
        <w:spacing w:after="80"/>
      </w:pPr>
      <w:r>
        <w:t>STT may take the form of training events, job shadowing and observation periods relevant to the participant's day-to-day work at the HEI. Conferences are excluded as an eligible staff-training activity.</w:t>
      </w:r>
    </w:p>
    <w:p>
      <w:pPr>
        <w:pStyle w:val="Heading1"/>
        <w:spacing w:after="80"/>
      </w:pPr>
      <w:r>
        <w:t>Training activity eligibility</w:t>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Participant</w:t>
            </w:r>
          </w:p>
        </w:tc>
        <w:tc>
          <w:tcPr>
            <w:tcW w:type="dxa" w:w="5083"/>
            <w:vAlign w:val="center"/>
          </w:tcPr>
          <w:p>
            <w:r>
              <w:rPr>
                <w:sz w:val="18"/>
              </w:rPr>
              <w:t>Dr Jelena Marković</w:t>
            </w:r>
          </w:p>
        </w:tc>
      </w:tr>
      <w:tr>
        <w:tc>
          <w:tcPr>
            <w:tcW w:type="dxa" w:w="5083"/>
            <w:vAlign w:val="center"/>
          </w:tcPr>
          <w:p>
            <w:r>
              <w:rPr>
                <w:sz w:val="18"/>
              </w:rPr>
              <w:t>Activity</w:t>
            </w:r>
          </w:p>
        </w:tc>
        <w:tc>
          <w:tcPr>
            <w:tcW w:type="dxa" w:w="5083"/>
            <w:vAlign w:val="center"/>
          </w:tcPr>
          <w:p>
            <w:r>
              <w:rPr>
                <w:sz w:val="18"/>
              </w:rPr>
              <w:t>STT</w:t>
            </w:r>
          </w:p>
        </w:tc>
      </w:tr>
      <w:tr>
        <w:tc>
          <w:tcPr>
            <w:tcW w:type="dxa" w:w="5083"/>
            <w:vAlign w:val="center"/>
          </w:tcPr>
          <w:p>
            <w:r>
              <w:rPr>
                <w:sz w:val="18"/>
              </w:rPr>
              <w:t>Programme</w:t>
            </w:r>
          </w:p>
        </w:tc>
        <w:tc>
          <w:tcPr>
            <w:tcW w:type="dxa" w:w="5083"/>
            <w:vAlign w:val="center"/>
          </w:tcPr>
          <w:p>
            <w:r>
              <w:rPr>
                <w:sz w:val="18"/>
              </w:rPr>
              <w:t>5-day job shadowing</w:t>
            </w:r>
          </w:p>
        </w:tc>
      </w:tr>
      <w:tr>
        <w:tc>
          <w:tcPr>
            <w:tcW w:type="dxa" w:w="5083"/>
            <w:vAlign w:val="center"/>
          </w:tcPr>
          <w:p>
            <w:r>
              <w:rPr>
                <w:sz w:val="18"/>
              </w:rPr>
              <w:t>Document</w:t>
            </w:r>
          </w:p>
        </w:tc>
        <w:tc>
          <w:tcPr>
            <w:tcW w:type="dxa" w:w="5083"/>
            <w:vAlign w:val="center"/>
          </w:tcPr>
          <w:p>
            <w:r>
              <w:rPr>
                <w:sz w:val="18"/>
              </w:rPr>
              <w:t>Mobility Agreement for Training</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