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color w:val="5A5A5A"/>
          <w:sz w:val="18"/>
        </w:rPr>
      </w:r>
    </w:p>
    <w:p>
      <w:pPr>
        <w:jc w:val="center"/>
      </w:pPr>
      <w:r>
        <w:t>Melius Academy, Belgrade</w:t>
      </w:r>
    </w:p>
    <w:p>
      <w:pPr>
        <w:jc w:val="center"/>
      </w:pPr>
      <w:r>
        <w:rPr>
          <w:b/>
          <w:color w:val="501214"/>
        </w:rPr>
        <w:t>Visoka škola akademskih studija „Melius Academy“ – Beograd</w:t>
      </w:r>
    </w:p>
    <w:p>
      <w:pPr>
        <w:spacing w:before="1800" w:after="80"/>
        <w:jc w:val="center"/>
      </w:pPr>
      <w:r>
        <w:rPr>
          <w:b/>
          <w:color w:val="122B38"/>
          <w:sz w:val="42"/>
        </w:rPr>
        <w:t>KA131/KA171-HED – MOBILNOST OSOBLJA</w:t>
      </w:r>
    </w:p>
    <w:p>
      <w:pPr>
        <w:spacing w:after="80"/>
        <w:jc w:val="center"/>
      </w:pPr>
      <w:r>
        <w:rPr>
          <w:i/>
          <w:sz w:val="22"/>
        </w:rPr>
        <w:t>STA i STT, incoming i outgoing</w:t>
      </w:r>
    </w:p>
    <w:p>
      <w:pPr>
        <w:spacing w:after="80"/>
        <w:jc w:val="center"/>
      </w:pPr>
      <w:r>
        <w:rPr>
          <w:color w:val="646464"/>
          <w:sz w:val="20"/>
        </w:rPr>
        <w:t>Melius Academy | Erasmus+ Higher Education</w:t>
      </w:r>
    </w:p>
    <w:p>
      <w:pPr>
        <w:spacing w:after="80"/>
      </w:pPr>
      <w:r>
        <w:br w:type="page"/>
      </w:r>
    </w:p>
    <w:p>
      <w:pPr>
        <w:pStyle w:val="Heading1"/>
        <w:spacing w:after="80"/>
      </w:pPr>
      <w:r>
        <w:t>Legenda skraćenica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Skraćenica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Značenje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SMS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Studies – mobilnost studenata radi studiranja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Traineeships – mobilnost studenata radi stručne prakse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Teaching – mobilnost osoblja radi držanja nastave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Training – mobilnost osoblja radi obuke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BIP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Blended Intensive Programme – kombinovani intenzivni program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ECTS / ESPB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European Credit Transfer and Accumulation System / Evropski sistem prenosa bodova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LA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Learning Agreement – ugovor o učenju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MA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Mobility Agreement – ugovor o programu mobilnosti osoblja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IIA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Inter-Institutional Agreement – međuinstitucionalni sporazum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HEI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Higher Education Institution – visokoškolska ustanova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ECHE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Charter for Higher Education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EWP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Without Paper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I. VRSTE MOBILNOSTI OSOBLJA</w:t>
      </w:r>
    </w:p>
    <w:p>
      <w:pPr>
        <w:pStyle w:val="Article"/>
        <w:spacing w:after="80"/>
      </w:pPr>
      <w:r>
        <w:t>Član 1. – STA – Staff Mobility for Teaching</w:t>
      </w:r>
    </w:p>
    <w:p>
      <w:pPr>
        <w:spacing w:after="80"/>
      </w:pPr>
      <w:r>
        <w:t>Mobilnost u svrhu držanja nastave sprovodi nastavno osoblje Melius Academy ili incoming nastavno osoblje partnerske ustanove. Program, period i broj nastavnih sati moraju biti usklađeni sa važećim Erasmus+ pravilima i Mobility Agreement for Teaching.</w:t>
      </w:r>
    </w:p>
    <w:p>
      <w:pPr>
        <w:pStyle w:val="Article"/>
        <w:spacing w:after="80"/>
      </w:pPr>
      <w:r>
        <w:t>Član 2. – STT – Staff Mobility for Training</w:t>
      </w:r>
    </w:p>
    <w:p>
      <w:pPr>
        <w:spacing w:after="80"/>
      </w:pPr>
      <w:r>
        <w:t>Mobilnost u svrhu stručnog usavršavanja može obuhvatiti job shadowing, strukturisanu obuku i druge prihvatljive aktivnosti profesionalnog razvoja. STT može obuhvatiti training events, job shadowing i observation periods koji su relevantni za svakodnevni rad učesnika; konferencije su izričito isključene kao prihvatljiva STT training aktivnost.</w:t>
      </w:r>
    </w:p>
    <w:p>
      <w:pPr>
        <w:pStyle w:val="Heading1"/>
        <w:spacing w:after="80"/>
      </w:pPr>
      <w:r>
        <w:t>II. OUTGOING STAFF – STA</w:t>
      </w:r>
    </w:p>
    <w:p>
      <w:pPr>
        <w:pStyle w:val="Heading3"/>
        <w:spacing w:after="80"/>
      </w:pPr>
      <w:r>
        <w:t>Postupak</w:t>
      </w:r>
    </w:p>
    <w:p>
      <w:pPr>
        <w:spacing w:after="80"/>
      </w:pPr>
      <w:r>
        <w:rPr>
          <w:b/>
        </w:rPr>
        <w:t xml:space="preserve">Korak 1. </w:t>
      </w:r>
      <w:r>
        <w:t>Provera projekta, partnera, IIA i dostupnog budžeta.</w:t>
      </w:r>
    </w:p>
    <w:p>
      <w:pPr>
        <w:spacing w:after="80"/>
      </w:pPr>
      <w:r>
        <w:rPr>
          <w:b/>
        </w:rPr>
        <w:t xml:space="preserve">Korak 2. </w:t>
      </w:r>
      <w:r>
        <w:t>Objava konkursa/poziva i uslova.</w:t>
      </w:r>
    </w:p>
    <w:p>
      <w:pPr>
        <w:spacing w:after="80"/>
      </w:pPr>
      <w:r>
        <w:rPr>
          <w:b/>
        </w:rPr>
        <w:t xml:space="preserve">Korak 3. </w:t>
      </w:r>
      <w:r>
        <w:t>Prijava kandidata sa predlogom programa nastave.</w:t>
      </w:r>
    </w:p>
    <w:p>
      <w:pPr>
        <w:spacing w:after="80"/>
      </w:pPr>
      <w:r>
        <w:rPr>
          <w:b/>
        </w:rPr>
        <w:t xml:space="preserve">Korak 4. </w:t>
      </w:r>
      <w:r>
        <w:t>Selekcija i rangiranje prema unapred objavljenim kriterijumima.</w:t>
      </w:r>
    </w:p>
    <w:p>
      <w:pPr>
        <w:spacing w:after="80"/>
      </w:pPr>
      <w:r>
        <w:rPr>
          <w:b/>
        </w:rPr>
        <w:t xml:space="preserve">Korak 5. </w:t>
      </w:r>
      <w:r>
        <w:t>Usaglašavanje Mobility Agreement for Teaching sa receiving HEI.</w:t>
      </w:r>
    </w:p>
    <w:p>
      <w:pPr>
        <w:spacing w:after="80"/>
      </w:pPr>
      <w:r>
        <w:rPr>
          <w:b/>
        </w:rPr>
        <w:t xml:space="preserve">Korak 6. </w:t>
      </w:r>
      <w:r>
        <w:t>Definisanje ciljeva, sadržaja, perioda i nastavnih sati.</w:t>
      </w:r>
    </w:p>
    <w:p>
      <w:pPr>
        <w:spacing w:after="80"/>
      </w:pPr>
      <w:r>
        <w:rPr>
          <w:b/>
        </w:rPr>
        <w:t xml:space="preserve">Korak 7. </w:t>
      </w:r>
      <w:r>
        <w:t>Potpisivanje Grant Agreement-a i putna priprema.</w:t>
      </w:r>
    </w:p>
    <w:p>
      <w:pPr>
        <w:spacing w:after="80"/>
      </w:pPr>
      <w:r>
        <w:rPr>
          <w:b/>
        </w:rPr>
        <w:t xml:space="preserve">Korak 8. </w:t>
      </w:r>
      <w:r>
        <w:t>Realizacija nastave i prikupljanje potvrde o boravku/aktivnosti.</w:t>
      </w:r>
    </w:p>
    <w:p>
      <w:pPr>
        <w:spacing w:after="80"/>
      </w:pPr>
      <w:r>
        <w:rPr>
          <w:b/>
        </w:rPr>
        <w:t xml:space="preserve">Korak 9. </w:t>
      </w:r>
      <w:r>
        <w:t>Participant Report i završna dokumentacija.</w:t>
      </w:r>
    </w:p>
    <w:p>
      <w:pPr>
        <w:spacing w:after="80"/>
      </w:pPr>
      <w:r>
        <w:rPr>
          <w:b/>
        </w:rPr>
        <w:t xml:space="preserve">Korak 10. </w:t>
      </w:r>
      <w:r>
        <w:t>Diseminacija rezultata i primena stečenih iskustava u Melius Academy.</w:t>
      </w:r>
    </w:p>
    <w:p>
      <w:pPr>
        <w:pStyle w:val="Heading1"/>
        <w:spacing w:after="80"/>
      </w:pPr>
      <w:r>
        <w:t>III. OUTGOING STAFF – STT</w:t>
      </w:r>
    </w:p>
    <w:p>
      <w:pPr>
        <w:pStyle w:val="Heading3"/>
        <w:spacing w:after="80"/>
      </w:pPr>
      <w:r>
        <w:t>Postupak</w:t>
      </w:r>
    </w:p>
    <w:p>
      <w:pPr>
        <w:spacing w:after="80"/>
      </w:pPr>
      <w:r>
        <w:rPr>
          <w:b/>
        </w:rPr>
        <w:t xml:space="preserve">Korak 1. </w:t>
      </w:r>
      <w:r>
        <w:t>Provera prihvatljivosti hosta i aktivnosti.</w:t>
      </w:r>
    </w:p>
    <w:p>
      <w:pPr>
        <w:spacing w:after="80"/>
      </w:pPr>
      <w:r>
        <w:rPr>
          <w:b/>
        </w:rPr>
        <w:t xml:space="preserve">Korak 2. </w:t>
      </w:r>
      <w:r>
        <w:t>Konkurs i selekcija.</w:t>
      </w:r>
    </w:p>
    <w:p>
      <w:pPr>
        <w:spacing w:after="80"/>
      </w:pPr>
      <w:r>
        <w:rPr>
          <w:b/>
        </w:rPr>
        <w:t xml:space="preserve">Korak 3. </w:t>
      </w:r>
      <w:r>
        <w:t>Mobility Agreement for Training sa jasnim ciljevima i očekivanim ishodima.</w:t>
      </w:r>
    </w:p>
    <w:p>
      <w:pPr>
        <w:spacing w:after="80"/>
      </w:pPr>
      <w:r>
        <w:rPr>
          <w:b/>
        </w:rPr>
        <w:t xml:space="preserve">Korak 4. </w:t>
      </w:r>
      <w:r>
        <w:t>Grant Agreement, osiguranje i putna priprema.</w:t>
      </w:r>
    </w:p>
    <w:p>
      <w:pPr>
        <w:spacing w:after="80"/>
      </w:pPr>
      <w:r>
        <w:rPr>
          <w:b/>
        </w:rPr>
        <w:t xml:space="preserve">Korak 5. </w:t>
      </w:r>
      <w:r>
        <w:t>Realizacija job shadowing/training aktivnosti.</w:t>
      </w:r>
    </w:p>
    <w:p>
      <w:pPr>
        <w:spacing w:after="80"/>
      </w:pPr>
      <w:r>
        <w:rPr>
          <w:b/>
        </w:rPr>
        <w:t xml:space="preserve">Korak 6. </w:t>
      </w:r>
      <w:r>
        <w:t>Potvrda o periodu i sadržaju mobilnosti.</w:t>
      </w:r>
    </w:p>
    <w:p>
      <w:pPr>
        <w:spacing w:after="80"/>
      </w:pPr>
      <w:r>
        <w:rPr>
          <w:b/>
        </w:rPr>
        <w:t xml:space="preserve">Korak 7. </w:t>
      </w:r>
      <w:r>
        <w:t>Participant Report.</w:t>
      </w:r>
    </w:p>
    <w:p>
      <w:pPr>
        <w:spacing w:after="80"/>
      </w:pPr>
      <w:r>
        <w:rPr>
          <w:b/>
        </w:rPr>
        <w:t xml:space="preserve">Korak 8. </w:t>
      </w:r>
      <w:r>
        <w:t>Interna diseminacija i prenos stečenih znanja.</w:t>
      </w:r>
    </w:p>
    <w:p>
      <w:pPr>
        <w:pStyle w:val="Heading1"/>
        <w:spacing w:after="80"/>
      </w:pPr>
      <w:r>
        <w:t>IV. INCOMING STAFF – STA</w:t>
      </w:r>
    </w:p>
    <w:p>
      <w:pPr>
        <w:pStyle w:val="Heading3"/>
        <w:spacing w:after="80"/>
      </w:pPr>
      <w:r>
        <w:t>Postupak</w:t>
      </w:r>
    </w:p>
    <w:p>
      <w:pPr>
        <w:spacing w:after="80"/>
      </w:pPr>
      <w:r>
        <w:rPr>
          <w:b/>
        </w:rPr>
        <w:t xml:space="preserve">Korak 1. </w:t>
      </w:r>
      <w:r>
        <w:t>Nominacija ili direktan dogovor sa partnerskom HEI u okviru projekta.</w:t>
      </w:r>
    </w:p>
    <w:p>
      <w:pPr>
        <w:spacing w:after="80"/>
      </w:pPr>
      <w:r>
        <w:rPr>
          <w:b/>
        </w:rPr>
        <w:t xml:space="preserve">Korak 2. </w:t>
      </w:r>
      <w:r>
        <w:t>Provera IIA i akademskog kapaciteta odseka.</w:t>
      </w:r>
    </w:p>
    <w:p>
      <w:pPr>
        <w:spacing w:after="80"/>
      </w:pPr>
      <w:r>
        <w:rPr>
          <w:b/>
        </w:rPr>
        <w:t xml:space="preserve">Korak 3. </w:t>
      </w:r>
      <w:r>
        <w:t>Usaglašavanje Mobility Agreement for Teaching.</w:t>
      </w:r>
    </w:p>
    <w:p>
      <w:pPr>
        <w:spacing w:after="80"/>
      </w:pPr>
      <w:r>
        <w:rPr>
          <w:b/>
        </w:rPr>
        <w:t xml:space="preserve">Korak 4. </w:t>
      </w:r>
      <w:r>
        <w:t>Definisanje nastave, publike, termina, prostora i tehničke podrške.</w:t>
      </w:r>
    </w:p>
    <w:p>
      <w:pPr>
        <w:spacing w:after="80"/>
      </w:pPr>
      <w:r>
        <w:rPr>
          <w:b/>
        </w:rPr>
        <w:t xml:space="preserve">Korak 5. </w:t>
      </w:r>
      <w:r>
        <w:t>Izdavanje invitation/acceptance dokumenta.</w:t>
      </w:r>
    </w:p>
    <w:p>
      <w:pPr>
        <w:spacing w:after="80"/>
      </w:pPr>
      <w:r>
        <w:rPr>
          <w:b/>
        </w:rPr>
        <w:t xml:space="preserve">Korak 6. </w:t>
      </w:r>
      <w:r>
        <w:t>Podrška za vizu i boravak kada je potrebna.</w:t>
      </w:r>
    </w:p>
    <w:p>
      <w:pPr>
        <w:spacing w:after="80"/>
      </w:pPr>
      <w:r>
        <w:rPr>
          <w:b/>
        </w:rPr>
        <w:t xml:space="preserve">Korak 7. </w:t>
      </w:r>
      <w:r>
        <w:t>Realizacija nastave i evidencija aktivnosti.</w:t>
      </w:r>
    </w:p>
    <w:p>
      <w:pPr>
        <w:spacing w:after="80"/>
      </w:pPr>
      <w:r>
        <w:rPr>
          <w:b/>
        </w:rPr>
        <w:t xml:space="preserve">Korak 8. </w:t>
      </w:r>
      <w:r>
        <w:t>Izdavanje potvrde o periodu i realizovanoj mobilnosti.</w:t>
      </w:r>
    </w:p>
    <w:p>
      <w:pPr>
        <w:pStyle w:val="Heading1"/>
        <w:spacing w:after="80"/>
      </w:pPr>
      <w:r>
        <w:t>V. INCOMING STAFF – STT</w:t>
      </w:r>
    </w:p>
    <w:p>
      <w:pPr>
        <w:pStyle w:val="Heading3"/>
        <w:spacing w:after="80"/>
      </w:pPr>
      <w:r>
        <w:t>Postupak</w:t>
      </w:r>
    </w:p>
    <w:p>
      <w:pPr>
        <w:spacing w:after="80"/>
      </w:pPr>
      <w:r>
        <w:rPr>
          <w:b/>
        </w:rPr>
        <w:t xml:space="preserve">Korak 1. </w:t>
      </w:r>
      <w:r>
        <w:t>Provera projektnog/partnerskog osnova.</w:t>
      </w:r>
    </w:p>
    <w:p>
      <w:pPr>
        <w:spacing w:after="80"/>
      </w:pPr>
      <w:r>
        <w:rPr>
          <w:b/>
        </w:rPr>
        <w:t xml:space="preserve">Korak 2. </w:t>
      </w:r>
      <w:r>
        <w:t>Definisanje programa job shadowing/training posete.</w:t>
      </w:r>
    </w:p>
    <w:p>
      <w:pPr>
        <w:spacing w:after="80"/>
      </w:pPr>
      <w:r>
        <w:rPr>
          <w:b/>
        </w:rPr>
        <w:t xml:space="preserve">Korak 3. </w:t>
      </w:r>
      <w:r>
        <w:t>Usaglašavanje Mobility Agreement for Training.</w:t>
      </w:r>
    </w:p>
    <w:p>
      <w:pPr>
        <w:spacing w:after="80"/>
      </w:pPr>
      <w:r>
        <w:rPr>
          <w:b/>
        </w:rPr>
        <w:t xml:space="preserve">Korak 4. </w:t>
      </w:r>
      <w:r>
        <w:t>Određivanje host kolega/jedinica i dnevnog programa.</w:t>
      </w:r>
    </w:p>
    <w:p>
      <w:pPr>
        <w:spacing w:after="80"/>
      </w:pPr>
      <w:r>
        <w:rPr>
          <w:b/>
        </w:rPr>
        <w:t xml:space="preserve">Korak 5. </w:t>
      </w:r>
      <w:r>
        <w:t>Praktične informacije i invitation letter.</w:t>
      </w:r>
    </w:p>
    <w:p>
      <w:pPr>
        <w:spacing w:after="80"/>
      </w:pPr>
      <w:r>
        <w:rPr>
          <w:b/>
        </w:rPr>
        <w:t xml:space="preserve">Korak 6. </w:t>
      </w:r>
      <w:r>
        <w:t>Realizacija, evaluacija i potvrda o boravku.</w:t>
      </w:r>
    </w:p>
    <w:p>
      <w:pPr>
        <w:pStyle w:val="Heading1"/>
        <w:spacing w:after="80"/>
      </w:pPr>
      <w:r>
        <w:t>VI. SELEKCIJA OSOBLJA</w:t>
      </w:r>
    </w:p>
    <w:p>
      <w:pPr>
        <w:spacing w:after="80"/>
      </w:pPr>
      <w:r>
        <w:t>Kriterijumi za izbor osoblja, maksimalni broj bodova, način dokazivanja i eventualna pravila prednosti definišu se svakim konkretnim konkursom. Komisija boduje isključivo prema kriterijumima i ponderima objavljenim u tom konkursu i ne može ih menjati nakon isteka roka za prijavu.</w:t>
      </w:r>
    </w:p>
    <w:p>
      <w:pPr>
        <w:spacing w:after="80"/>
      </w:pPr>
      <w:r>
        <w:t>Za dokumentovanje bodovanja koristi se obrazac OB-ER-04, u koji se prepisuju tačni kriterijumi i maksimalni bodovi iz konkretnog konkursa.</w:t>
      </w:r>
    </w:p>
    <w:p>
      <w:pPr>
        <w:pStyle w:val="Heading1"/>
        <w:spacing w:after="80"/>
      </w:pPr>
      <w:r>
        <w:t>VII. DOKUMENTACIJA</w:t>
      </w:r>
    </w:p>
    <w:p>
      <w:pPr>
        <w:pStyle w:val="Article"/>
        <w:spacing w:after="80"/>
      </w:pPr>
      <w:r>
        <w:t>Član 3. – Minimalni dosije</w:t>
      </w:r>
    </w:p>
    <w:p>
      <w:pPr>
        <w:pStyle w:val="ListBullet"/>
        <w:spacing w:after="80"/>
      </w:pPr>
      <w:r>
        <w:t>prijava i odluka o izboru</w:t>
      </w:r>
    </w:p>
    <w:p>
      <w:pPr>
        <w:pStyle w:val="ListBullet"/>
        <w:spacing w:after="80"/>
      </w:pPr>
      <w:r>
        <w:t>Mobility Agreement for Teaching/Training</w:t>
      </w:r>
    </w:p>
    <w:p>
      <w:pPr>
        <w:pStyle w:val="ListBullet"/>
        <w:spacing w:after="80"/>
      </w:pPr>
      <w:r>
        <w:t>invitation/acceptance gde je primenljivo</w:t>
      </w:r>
    </w:p>
    <w:p>
      <w:pPr>
        <w:pStyle w:val="ListBullet"/>
        <w:spacing w:after="80"/>
      </w:pPr>
      <w:r>
        <w:t>Grant Agreement</w:t>
      </w:r>
    </w:p>
    <w:p>
      <w:pPr>
        <w:pStyle w:val="ListBullet"/>
        <w:spacing w:after="80"/>
      </w:pPr>
      <w:r>
        <w:t>putna i finansijska dokumentacija prema projektu</w:t>
      </w:r>
    </w:p>
    <w:p>
      <w:pPr>
        <w:pStyle w:val="ListBullet"/>
        <w:spacing w:after="80"/>
      </w:pPr>
      <w:r>
        <w:t>confirmation of stay/attendance</w:t>
      </w:r>
    </w:p>
    <w:p>
      <w:pPr>
        <w:pStyle w:val="ListBullet"/>
        <w:spacing w:after="80"/>
      </w:pPr>
      <w:r>
        <w:t>Participant Report</w:t>
      </w:r>
    </w:p>
    <w:p>
      <w:pPr>
        <w:pStyle w:val="ListBullet"/>
        <w:spacing w:after="80"/>
      </w:pPr>
      <w:r>
        <w:t>dokaz o diseminaciji kada je predviđen</w:t>
      </w:r>
    </w:p>
    <w:p>
      <w:pPr>
        <w:pStyle w:val="Heading1"/>
        <w:spacing w:after="80"/>
      </w:pPr>
      <w:r>
        <w:t>Programski izvori</w:t>
      </w:r>
    </w:p>
    <w:p>
      <w:pPr>
        <w:pStyle w:val="ListBullet"/>
        <w:spacing w:after="80"/>
      </w:pPr>
      <w:r>
        <w:t>Erasmus+ Programme Guide 2026 – Mobility projects for higher education students and staff (KA131-HED / KA171-HED).</w:t>
      </w:r>
    </w:p>
    <w:p>
      <w:pPr>
        <w:pStyle w:val="ListBullet"/>
        <w:spacing w:after="80"/>
      </w:pPr>
      <w:r>
        <w:t>Erasmus Charter for Higher Education (ECHE) 2021–2027 i ECHE quality principles.</w:t>
      </w:r>
    </w:p>
    <w:p>
      <w:pPr>
        <w:pStyle w:val="ListBullet"/>
        <w:spacing w:after="80"/>
      </w:pPr>
      <w:r>
        <w:t>Erasmus+ Student Charter.</w:t>
      </w:r>
    </w:p>
    <w:p>
      <w:pPr>
        <w:pStyle w:val="ListBullet"/>
        <w:spacing w:after="80"/>
      </w:pPr>
      <w:r>
        <w:t>Važeći Learning Agreement obrasci i smernice za Studies i Traineeships (KA131/KA171).</w:t>
      </w:r>
    </w:p>
    <w:p>
      <w:pPr>
        <w:pStyle w:val="ListBullet"/>
        <w:spacing w:after="80"/>
      </w:pPr>
      <w:r>
        <w:t>Važeći Mobility Agreement obrasci za Staff Mobility for Teaching i Staff Mobility for Training.</w:t>
      </w:r>
    </w:p>
    <w:p>
      <w:pPr>
        <w:pStyle w:val="ListBullet"/>
        <w:spacing w:after="80"/>
      </w:pPr>
      <w:r>
        <w:t>Važeći Grant Agreement, Beneficiary Module pravila i nacionalna pravila Fondacije Tempus za konkretnu projektnu godinu.</w:t>
      </w:r>
    </w:p>
    <w:p>
      <w:pPr>
        <w:spacing w:after="80"/>
      </w:pPr>
      <w:r>
        <w:t>Promenljivi iznosi grantova, top-up podrške i putnih troškova ne utvrđuju se ovim dokumentom, već se primenjuju prema važećem projektu i pravilima za konkretnu godinu poziva.</w:t>
      </w:r>
    </w:p>
    <w:p>
      <w:pPr>
        <w:pStyle w:val="Heading1"/>
        <w:spacing w:after="80"/>
      </w:pPr>
      <w:r>
        <w:t>Aktuelni programski minimumi – 2026</w:t>
      </w:r>
    </w:p>
    <w:p>
      <w:pPr>
        <w:spacing w:after="80"/>
      </w:pPr>
      <w:r>
        <w:t>Za mobilnost osoblja između država članica EU i trećih zemalja pridruženih Programu, fizička mobilnost traje od 2 do 60 dana, bez dana putovanja. Za pozvano osoblje iz preduzeća minimalno trajanje je 1 dan. Kada mobilnost uključuje treću zemlju koja nije pridružena Programu, trajanje je od 5 do 60 dana, bez dana putovanja. Minimalni broj dana mora biti uzastopan. STA aktivnost obuhvata najmanje 8 sati nastave nedeljno ili za svaki period kraći od nedelju dana. Ako se nastava kombinuje sa obukom u jednom periodu mobilnosti, minimum je 4 sata nastave nedeljno ili za period kraći od nedelju dana. Za pozvano osoblje iz preduzeća nema minimalnog broja sati nastave.</w:t>
      </w:r>
    </w:p>
    <w:p>
      <w:pPr>
        <w:spacing w:after="80"/>
      </w:pPr>
      <w:r>
        <w:br w:type="page"/>
      </w:r>
    </w:p>
    <w:p>
      <w:pPr>
        <w:spacing w:after="80"/>
      </w:pPr>
      <w:r>
        <w:t>Ovaj dokument se primenjuje zajedno sa važećim Erasmus+ Programme Guide 2026, ECHE principima, odgovarajućim Learning Agreement/Mobility Agreement obrascima, Grant Agreement-om konkretnog projekta i pravilima nadležne Nacionalne agencije. Ako se programsko pravilo promeni, primenjuje se važeće pravilo za godinu poziva/projekta.</w:t>
      </w:r>
    </w:p>
    <w:p>
      <w:pPr>
        <w:pStyle w:val="Heading1"/>
        <w:spacing w:after="80"/>
      </w:pPr>
      <w:r>
        <w:t>Programski osnov i važenje pravila</w:t>
      </w:r>
    </w:p>
    <w:p>
      <w:pPr/>
      <w:r>
        <w:t>Institucionalni kontinuitet Melius Academy potiče od Akademije za poslovnu ekonomiju u Čačku. Ustanova je poslovala pod tim nazivom i imala dozvolu za rad još od 2009. godine. Tokom 2026. sprovedena je promena sedišta i naziva: u maju 2026. javno je najavljena promena sedišta iz Čačka u Beograd i novi naziv „Melius Academy“, u julu 2026. objavljeno je rešenje o promeni naziva i sedišta, a zatim i nova dozvola za rad Ministarstva prosvete za Visoku školu akademskih studija „Melius Academy“ sa sedištem u Beogradu. Ova promena predstavlja nastavak rada iste visokoškolske ustanove pod novim identitetom i na novom sedištu, a ne osnivanje potpuno nove ustanove.</w:t>
      </w:r>
    </w:p>
    <w:p>
      <w:pPr/>
      <w:r>
        <w:t>Visoka škola akademskih studija „Melius Academy“ je visokoškolska ustanova akademskih studija sa sedištem u Beogradu, Trešnjin cvet 11. U Erasmus+ dokumentaciji ustanova koristi naziv Melius Academy. Redovna nastava se izvodi na srpskom jeziku. Za dolazne Erasmus+ studente moguće je, uz prethodni dogovor sa Erasmus+/međunarodnim koordinatorom, nadležnim nastavnikom i odgovarajućom organizacionom jedinicom, organizovati podršku na engleskom jeziku, uključujući pojašnjenja, odabrane materijale na engleskom ili prevodilačku/jezičku podršku kada je to akademski i organizaciono izvodljivo. Takva podrška nije automatski garantovana za svaki predmet i treba da bude dogovorena pre konačnog odobravanja Learning Agreement-a.</w:t>
      </w:r>
    </w:p>
    <w:p>
      <w:pPr>
        <w:pStyle w:val="Heading1"/>
      </w:pPr>
      <w:r>
        <w:t>Institucionalni profil i kontinuitet</w:t>
      </w:r>
    </w:p>
    <w:p>
      <w:pPr>
        <w:spacing w:after="80"/>
        <w:jc w:val="center"/>
      </w:pPr>
      <w:r>
        <w:rPr>
          <w:b/>
          <w:color w:val="B4B4B4"/>
          <w:sz w:val="60"/>
        </w:rPr>
        <w:t>PRIMER / EXAMPLE</w:t>
      </w:r>
    </w:p>
    <w:p>
      <w:pPr>
        <w:spacing w:after="80"/>
        <w:jc w:val="center"/>
      </w:pPr>
      <w:r>
        <w:rPr>
          <w:b/>
          <w:color w:val="B40000"/>
          <w:sz w:val="26"/>
        </w:rPr>
        <w:t>OBRISATI CELU OVU STRANICU PRE ZVANIČNE UPOTREBE</w:t>
      </w:r>
    </w:p>
    <w:p>
      <w:pPr>
        <w:pStyle w:val="Heading2"/>
        <w:spacing w:after="80"/>
      </w:pPr>
      <w:r>
        <w:t>Primer primene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Polje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Popunjen primer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Učesnik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Dr Jelena Marković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Vrsta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STT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Program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5 dana job shadowing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Dokument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Mobility Agreement for Training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Završetak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Confirmation of Stay + Participant Report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B40000"/>
        </w:rPr>
        <w:t>OBRISATI CELU OVU STRANICU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">
    <w:name w:val="Article"/>
    <w:rPr>
      <w:rFonts w:ascii="Aptos" w:hAnsi="Aptos"/>
      <w:b/>
      <w:color w:val="122B38"/>
      <w:sz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