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80"/>
        <w:jc w:val="center"/>
      </w:pPr>
      <w:r>
        <w:rPr>
          <w:color w:val="5A5A5A"/>
          <w:sz w:val="18"/>
        </w:rPr>
      </w:r>
    </w:p>
    <w:p>
      <w:pPr>
        <w:jc w:val="center"/>
      </w:pPr>
      <w:r>
        <w:t>Melius Academy, Belgrade</w:t>
      </w:r>
    </w:p>
    <w:p>
      <w:pPr>
        <w:jc w:val="center"/>
      </w:pPr>
      <w:r>
        <w:rPr>
          <w:b/>
          <w:color w:val="501214"/>
        </w:rPr>
        <w:t>Visoka škola akademskih studija „Melius Academy“ – Beograd</w:t>
      </w:r>
    </w:p>
    <w:p>
      <w:pPr>
        <w:spacing w:before="1800" w:after="80"/>
        <w:jc w:val="center"/>
      </w:pPr>
      <w:r>
        <w:rPr>
          <w:b/>
          <w:color w:val="122B38"/>
          <w:sz w:val="42"/>
        </w:rPr>
        <w:t>BIP – BLENDED INTENSIVE PROGRAMME</w:t>
      </w:r>
    </w:p>
    <w:p>
      <w:pPr>
        <w:spacing w:after="80"/>
        <w:jc w:val="center"/>
      </w:pPr>
      <w:r>
        <w:rPr>
          <w:i/>
          <w:sz w:val="22"/>
        </w:rPr>
        <w:t>Organisation, participation, ECTS and recognition</w:t>
      </w:r>
    </w:p>
    <w:p>
      <w:pPr>
        <w:spacing w:after="80"/>
        <w:jc w:val="center"/>
      </w:pPr>
      <w:r>
        <w:rPr>
          <w:color w:val="646464"/>
          <w:sz w:val="20"/>
        </w:rPr>
        <w:t>Melius Academy | Erasmus+ Higher Education</w:t>
      </w:r>
    </w:p>
    <w:p>
      <w:pPr>
        <w:spacing w:after="80"/>
      </w:pPr>
      <w:r>
        <w:br w:type="page"/>
      </w:r>
    </w:p>
    <w:p>
      <w:pPr>
        <w:pStyle w:val="Heading1"/>
        <w:spacing w:after="80"/>
      </w:pPr>
      <w:r>
        <w:t>Legend of abbreviations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Abbreviation</w:t>
            </w:r>
          </w:p>
        </w:tc>
        <w:tc>
          <w:tcPr>
            <w:tcW w:type="dxa" w:w="5083"/>
            <w:shd w:fill="E8F0F5"/>
          </w:tcPr>
          <w:p>
            <w:r>
              <w:rPr>
                <w:b/>
                <w:sz w:val="18"/>
              </w:rPr>
              <w:t>Meaning</w:t>
            </w:r>
          </w:p>
        </w:tc>
      </w:tr>
      <w:tr>
        <w:tc>
          <w:tcPr>
            <w:tcW w:type="dxa" w:w="5083"/>
            <w:vAlign w:val="center"/>
          </w:tcPr>
          <w:p>
            <w:r>
              <w:rPr>
                <w:sz w:val="18"/>
              </w:rPr>
              <w:t>SMS</w:t>
            </w:r>
          </w:p>
        </w:tc>
        <w:tc>
          <w:tcPr>
            <w:tcW w:type="dxa" w:w="5083"/>
            <w:vAlign w:val="center"/>
          </w:tcPr>
          <w:p>
            <w:r>
              <w:rPr>
                <w:sz w:val="18"/>
              </w:rPr>
              <w:t>Student Mobility for Studies</w:t>
            </w:r>
          </w:p>
        </w:tc>
      </w:tr>
      <w:tr>
        <w:tc>
          <w:tcPr>
            <w:tcW w:type="dxa" w:w="5083"/>
            <w:vAlign w:val="center"/>
          </w:tcPr>
          <w:p>
            <w:r>
              <w:rPr>
                <w:sz w:val="18"/>
              </w:rPr>
              <w:t>SMT</w:t>
            </w:r>
          </w:p>
        </w:tc>
        <w:tc>
          <w:tcPr>
            <w:tcW w:type="dxa" w:w="5083"/>
            <w:vAlign w:val="center"/>
          </w:tcPr>
          <w:p>
            <w:r>
              <w:rPr>
                <w:sz w:val="18"/>
              </w:rPr>
              <w:t>Student Mobility for Traineeships</w:t>
            </w:r>
          </w:p>
        </w:tc>
      </w:tr>
      <w:tr>
        <w:tc>
          <w:tcPr>
            <w:tcW w:type="dxa" w:w="5083"/>
            <w:vAlign w:val="center"/>
          </w:tcPr>
          <w:p>
            <w:r>
              <w:rPr>
                <w:sz w:val="18"/>
              </w:rPr>
              <w:t>STA</w:t>
            </w:r>
          </w:p>
        </w:tc>
        <w:tc>
          <w:tcPr>
            <w:tcW w:type="dxa" w:w="5083"/>
            <w:vAlign w:val="center"/>
          </w:tcPr>
          <w:p>
            <w:r>
              <w:rPr>
                <w:sz w:val="18"/>
              </w:rPr>
              <w:t>Staff Mobility for Teaching</w:t>
            </w:r>
          </w:p>
        </w:tc>
      </w:tr>
      <w:tr>
        <w:tc>
          <w:tcPr>
            <w:tcW w:type="dxa" w:w="5083"/>
            <w:vAlign w:val="center"/>
          </w:tcPr>
          <w:p>
            <w:r>
              <w:rPr>
                <w:sz w:val="18"/>
              </w:rPr>
              <w:t>STT</w:t>
            </w:r>
          </w:p>
        </w:tc>
        <w:tc>
          <w:tcPr>
            <w:tcW w:type="dxa" w:w="5083"/>
            <w:vAlign w:val="center"/>
          </w:tcPr>
          <w:p>
            <w:r>
              <w:rPr>
                <w:sz w:val="18"/>
              </w:rPr>
              <w:t>Staff Mobility for Training</w:t>
            </w:r>
          </w:p>
        </w:tc>
      </w:tr>
      <w:tr>
        <w:tc>
          <w:tcPr>
            <w:tcW w:type="dxa" w:w="5083"/>
            <w:vAlign w:val="center"/>
          </w:tcPr>
          <w:p>
            <w:r>
              <w:rPr>
                <w:sz w:val="18"/>
              </w:rPr>
              <w:t>BIP</w:t>
            </w:r>
          </w:p>
        </w:tc>
        <w:tc>
          <w:tcPr>
            <w:tcW w:type="dxa" w:w="5083"/>
            <w:vAlign w:val="center"/>
          </w:tcPr>
          <w:p>
            <w:r>
              <w:rPr>
                <w:sz w:val="18"/>
              </w:rPr>
              <w:t>Blended Intensive Programme</w:t>
            </w:r>
          </w:p>
        </w:tc>
      </w:tr>
      <w:tr>
        <w:tc>
          <w:tcPr>
            <w:tcW w:type="dxa" w:w="5083"/>
            <w:vAlign w:val="center"/>
          </w:tcPr>
          <w:p>
            <w:r>
              <w:rPr>
                <w:sz w:val="18"/>
              </w:rPr>
              <w:t>ECTS</w:t>
            </w:r>
          </w:p>
        </w:tc>
        <w:tc>
          <w:tcPr>
            <w:tcW w:type="dxa" w:w="5083"/>
            <w:vAlign w:val="center"/>
          </w:tcPr>
          <w:p>
            <w:r>
              <w:rPr>
                <w:sz w:val="18"/>
              </w:rPr>
              <w:t>European Credit Transfer and Accumulation System</w:t>
            </w:r>
          </w:p>
        </w:tc>
      </w:tr>
      <w:tr>
        <w:tc>
          <w:tcPr>
            <w:tcW w:type="dxa" w:w="5083"/>
            <w:vAlign w:val="center"/>
          </w:tcPr>
          <w:p>
            <w:r>
              <w:rPr>
                <w:sz w:val="18"/>
              </w:rPr>
              <w:t>LA</w:t>
            </w:r>
          </w:p>
        </w:tc>
        <w:tc>
          <w:tcPr>
            <w:tcW w:type="dxa" w:w="5083"/>
            <w:vAlign w:val="center"/>
          </w:tcPr>
          <w:p>
            <w:r>
              <w:rPr>
                <w:sz w:val="18"/>
              </w:rPr>
              <w:t>Learning Agreement</w:t>
            </w:r>
          </w:p>
        </w:tc>
      </w:tr>
      <w:tr>
        <w:tc>
          <w:tcPr>
            <w:tcW w:type="dxa" w:w="5083"/>
            <w:vAlign w:val="center"/>
          </w:tcPr>
          <w:p>
            <w:r>
              <w:rPr>
                <w:sz w:val="18"/>
              </w:rPr>
              <w:t>MA</w:t>
            </w:r>
          </w:p>
        </w:tc>
        <w:tc>
          <w:tcPr>
            <w:tcW w:type="dxa" w:w="5083"/>
            <w:vAlign w:val="center"/>
          </w:tcPr>
          <w:p>
            <w:r>
              <w:rPr>
                <w:sz w:val="18"/>
              </w:rPr>
              <w:t>Mobility Agreement</w:t>
            </w:r>
          </w:p>
        </w:tc>
      </w:tr>
      <w:tr>
        <w:tc>
          <w:tcPr>
            <w:tcW w:type="dxa" w:w="5083"/>
            <w:vAlign w:val="center"/>
          </w:tcPr>
          <w:p>
            <w:r>
              <w:rPr>
                <w:sz w:val="18"/>
              </w:rPr>
              <w:t>IIA</w:t>
            </w:r>
          </w:p>
        </w:tc>
        <w:tc>
          <w:tcPr>
            <w:tcW w:type="dxa" w:w="5083"/>
            <w:vAlign w:val="center"/>
          </w:tcPr>
          <w:p>
            <w:r>
              <w:rPr>
                <w:sz w:val="18"/>
              </w:rPr>
              <w:t>Inter-Institutional Agreement</w:t>
            </w:r>
          </w:p>
        </w:tc>
      </w:tr>
      <w:tr>
        <w:tc>
          <w:tcPr>
            <w:tcW w:type="dxa" w:w="5083"/>
            <w:vAlign w:val="center"/>
          </w:tcPr>
          <w:p>
            <w:r>
              <w:rPr>
                <w:sz w:val="18"/>
              </w:rPr>
              <w:t>HEI</w:t>
            </w:r>
          </w:p>
        </w:tc>
        <w:tc>
          <w:tcPr>
            <w:tcW w:type="dxa" w:w="5083"/>
            <w:vAlign w:val="center"/>
          </w:tcPr>
          <w:p>
            <w:r>
              <w:rPr>
                <w:sz w:val="18"/>
              </w:rPr>
              <w:t>Higher Education Institution</w:t>
            </w:r>
          </w:p>
        </w:tc>
      </w:tr>
      <w:tr>
        <w:tc>
          <w:tcPr>
            <w:tcW w:type="dxa" w:w="5083"/>
            <w:vAlign w:val="center"/>
          </w:tcPr>
          <w:p>
            <w:r>
              <w:rPr>
                <w:sz w:val="18"/>
              </w:rPr>
              <w:t>ECHE</w:t>
            </w:r>
          </w:p>
        </w:tc>
        <w:tc>
          <w:tcPr>
            <w:tcW w:type="dxa" w:w="5083"/>
            <w:vAlign w:val="center"/>
          </w:tcPr>
          <w:p>
            <w:r>
              <w:rPr>
                <w:sz w:val="18"/>
              </w:rPr>
              <w:t>Erasmus Charter for Higher Education</w:t>
            </w:r>
          </w:p>
        </w:tc>
      </w:tr>
      <w:tr>
        <w:tc>
          <w:tcPr>
            <w:tcW w:type="dxa" w:w="5083"/>
            <w:vAlign w:val="center"/>
          </w:tcPr>
          <w:p>
            <w:r>
              <w:rPr>
                <w:sz w:val="18"/>
              </w:rPr>
              <w:t>EWP</w:t>
            </w:r>
          </w:p>
        </w:tc>
        <w:tc>
          <w:tcPr>
            <w:tcW w:type="dxa" w:w="5083"/>
            <w:vAlign w:val="center"/>
          </w:tcPr>
          <w:p>
            <w:r>
              <w:rPr>
                <w:sz w:val="18"/>
              </w:rPr>
              <w:t>Erasmus Without Paper</w:t>
            </w:r>
          </w:p>
        </w:tc>
      </w:tr>
    </w:tbl>
    <w:p>
      <w:pPr>
        <w:spacing w:after="80"/>
      </w:pPr>
    </w:p>
    <w:p>
      <w:pPr>
        <w:pStyle w:val="Heading1"/>
        <w:spacing w:after="80"/>
      </w:pPr>
      <w:r>
        <w:t>I. PURPOSE AND DEFINITION</w:t>
      </w:r>
    </w:p>
    <w:p>
      <w:pPr>
        <w:spacing w:after="80"/>
      </w:pPr>
      <w:r>
        <w:t>A Blended Intensive Programme is an intensive transnational learning format combining a short physical mobility period with collaborative virtual learning. BIPs are designed to use innovative learning and teaching methods and to create added value that would not be achieved through a purely physical or purely virtual activity.</w:t>
      </w:r>
    </w:p>
    <w:p>
      <w:pPr>
        <w:pStyle w:val="Heading1"/>
        <w:spacing w:after="80"/>
      </w:pPr>
      <w:r>
        <w:t>II. PROGRAMME REQUIREMENTS</w:t>
      </w:r>
    </w:p>
    <w:p>
      <w:pPr>
        <w:pStyle w:val="ListBullet"/>
        <w:spacing w:after="80"/>
      </w:pPr>
      <w:r>
        <w:t>The BIP must be developed and implemented by at least three HEIs from at least three EU Member States and/or third countries associated to the Programme.</w:t>
      </w:r>
    </w:p>
    <w:p>
      <w:pPr>
        <w:pStyle w:val="ListBullet"/>
        <w:spacing w:after="80"/>
      </w:pPr>
      <w:r>
        <w:t>For learners, the physical component lasts from 5 to 30 days, excluding travel.</w:t>
      </w:r>
    </w:p>
    <w:p>
      <w:pPr>
        <w:pStyle w:val="ListBullet"/>
        <w:spacing w:after="80"/>
      </w:pPr>
      <w:r>
        <w:t>The virtual component is compulsory for learners and must facilitate collaborative online learning exchange and teamwork.</w:t>
      </w:r>
    </w:p>
    <w:p>
      <w:pPr>
        <w:pStyle w:val="ListBullet"/>
        <w:spacing w:after="80"/>
      </w:pPr>
      <w:r>
        <w:t>For students, the combined virtual and physical programme awards at least 3 ECTS.</w:t>
      </w:r>
    </w:p>
    <w:p>
      <w:pPr>
        <w:pStyle w:val="ListBullet"/>
        <w:spacing w:after="80"/>
      </w:pPr>
      <w:r>
        <w:t>For organisational support, the BIP must meet the applicable minimum number of Erasmus+ mobile learners supported by internal-policy funds.</w:t>
      </w:r>
    </w:p>
    <w:p>
      <w:pPr>
        <w:pStyle w:val="Heading1"/>
        <w:spacing w:after="80"/>
      </w:pPr>
      <w:r>
        <w:t>III. Melius Academy AS COORDINATING/RECEIVING HEI</w:t>
      </w:r>
    </w:p>
    <w:p>
      <w:pPr>
        <w:pStyle w:val="Heading2"/>
        <w:spacing w:after="80"/>
      </w:pPr>
      <w:r>
        <w:t>Organisation workflow</w:t>
      </w:r>
    </w:p>
    <w:p>
      <w:pPr>
        <w:spacing w:after="80"/>
      </w:pPr>
      <w:r>
        <w:rPr>
          <w:b/>
        </w:rPr>
        <w:t xml:space="preserve">Step 1. </w:t>
      </w:r>
      <w:r>
        <w:t>Define the academic concept, target group, level, learning outcomes, assessment and ECTS.</w:t>
      </w:r>
    </w:p>
    <w:p>
      <w:pPr>
        <w:spacing w:after="80"/>
      </w:pPr>
      <w:r>
        <w:rPr>
          <w:b/>
        </w:rPr>
        <w:t xml:space="preserve">Step 2. </w:t>
      </w:r>
      <w:r>
        <w:t>Confirm partner HEIs, responsibilities and the relevant IIAs.</w:t>
      </w:r>
    </w:p>
    <w:p>
      <w:pPr>
        <w:spacing w:after="80"/>
      </w:pPr>
      <w:r>
        <w:rPr>
          <w:b/>
        </w:rPr>
        <w:t xml:space="preserve">Step 3. </w:t>
      </w:r>
      <w:r>
        <w:t>Define the virtual component, physical location, dates and teaching team.</w:t>
      </w:r>
    </w:p>
    <w:p>
      <w:pPr>
        <w:spacing w:after="80"/>
      </w:pPr>
      <w:r>
        <w:rPr>
          <w:b/>
        </w:rPr>
        <w:t xml:space="preserve">Step 4. </w:t>
      </w:r>
      <w:r>
        <w:t>Prepare an English BIP/course information sheet including language, workload, ECTS, assessment and accessibility information.</w:t>
      </w:r>
    </w:p>
    <w:p>
      <w:pPr>
        <w:spacing w:after="80"/>
      </w:pPr>
      <w:r>
        <w:rPr>
          <w:b/>
        </w:rPr>
        <w:t xml:space="preserve">Step 5. </w:t>
      </w:r>
      <w:r>
        <w:t>Partners nominate participants and Melius Academy verifies eligibility and capacity.</w:t>
      </w:r>
    </w:p>
    <w:p>
      <w:pPr>
        <w:spacing w:after="80"/>
      </w:pPr>
      <w:r>
        <w:rPr>
          <w:b/>
        </w:rPr>
        <w:t xml:space="preserve">Step 6. </w:t>
      </w:r>
      <w:r>
        <w:t>Learning Agreements/other relevant mobility documents are completed before participation.</w:t>
      </w:r>
    </w:p>
    <w:p>
      <w:pPr>
        <w:spacing w:after="80"/>
      </w:pPr>
      <w:r>
        <w:rPr>
          <w:b/>
        </w:rPr>
        <w:t xml:space="preserve">Step 7. </w:t>
      </w:r>
      <w:r>
        <w:t>Deliver and document the virtual component.</w:t>
      </w:r>
    </w:p>
    <w:p>
      <w:pPr>
        <w:spacing w:after="80"/>
      </w:pPr>
      <w:r>
        <w:rPr>
          <w:b/>
        </w:rPr>
        <w:t xml:space="preserve">Step 8. </w:t>
      </w:r>
      <w:r>
        <w:t>Deliver the physical component, maintain attendance records and provide participant support.</w:t>
      </w:r>
    </w:p>
    <w:p>
      <w:pPr>
        <w:spacing w:after="80"/>
      </w:pPr>
      <w:r>
        <w:rPr>
          <w:b/>
        </w:rPr>
        <w:t xml:space="preserve">Step 9. </w:t>
      </w:r>
      <w:r>
        <w:t>Assess learning outcomes and document successful completion.</w:t>
      </w:r>
    </w:p>
    <w:p>
      <w:pPr>
        <w:spacing w:after="80"/>
      </w:pPr>
      <w:r>
        <w:rPr>
          <w:b/>
        </w:rPr>
        <w:t xml:space="preserve">Step 10. </w:t>
      </w:r>
      <w:r>
        <w:t>Issue the relevant Transcript/Certificate showing the BIP title and ECTS.</w:t>
      </w:r>
    </w:p>
    <w:p>
      <w:pPr>
        <w:spacing w:after="80"/>
      </w:pPr>
      <w:r>
        <w:rPr>
          <w:b/>
        </w:rPr>
        <w:t xml:space="preserve">Step 11. </w:t>
      </w:r>
      <w:r>
        <w:t>Collect participant/partner feedback, disseminate results and archive the complete BIP file.</w:t>
      </w:r>
    </w:p>
    <w:p>
      <w:pPr>
        <w:pStyle w:val="Heading1"/>
        <w:spacing w:after="80"/>
      </w:pPr>
      <w:r>
        <w:t>IV. Melius Academy AS SENDING HEI</w:t>
      </w:r>
    </w:p>
    <w:p>
      <w:pPr>
        <w:pStyle w:val="Heading2"/>
        <w:spacing w:after="80"/>
      </w:pPr>
      <w:r>
        <w:t>Sending participants</w:t>
      </w:r>
    </w:p>
    <w:p>
      <w:pPr>
        <w:spacing w:after="80"/>
      </w:pPr>
      <w:r>
        <w:rPr>
          <w:b/>
        </w:rPr>
        <w:t xml:space="preserve">Step 1. </w:t>
      </w:r>
      <w:r>
        <w:t>Assess the academic relevance and eligibility of the partner BIP.</w:t>
      </w:r>
    </w:p>
    <w:p>
      <w:pPr>
        <w:spacing w:after="80"/>
      </w:pPr>
      <w:r>
        <w:rPr>
          <w:b/>
        </w:rPr>
        <w:t xml:space="preserve">Step 2. </w:t>
      </w:r>
      <w:r>
        <w:t>Select participants where required using criteria defined in the call.</w:t>
      </w:r>
    </w:p>
    <w:p>
      <w:pPr>
        <w:spacing w:after="80"/>
      </w:pPr>
      <w:r>
        <w:rPr>
          <w:b/>
        </w:rPr>
        <w:t xml:space="preserve">Step 3. </w:t>
      </w:r>
      <w:r>
        <w:t>Define academic recognition in advance in the Learning Agreement.</w:t>
      </w:r>
    </w:p>
    <w:p>
      <w:pPr>
        <w:spacing w:after="80"/>
      </w:pPr>
      <w:r>
        <w:rPr>
          <w:b/>
        </w:rPr>
        <w:t xml:space="preserve">Step 4. </w:t>
      </w:r>
      <w:r>
        <w:t>Complete the Grant Agreement and travel preparation.</w:t>
      </w:r>
    </w:p>
    <w:p>
      <w:pPr>
        <w:spacing w:after="80"/>
      </w:pPr>
      <w:r>
        <w:rPr>
          <w:b/>
        </w:rPr>
        <w:t xml:space="preserve">Step 5. </w:t>
      </w:r>
      <w:r>
        <w:t>Verify participation in both virtual and physical components.</w:t>
      </w:r>
    </w:p>
    <w:p>
      <w:pPr>
        <w:spacing w:after="80"/>
      </w:pPr>
      <w:r>
        <w:rPr>
          <w:b/>
        </w:rPr>
        <w:t xml:space="preserve">Step 6. </w:t>
      </w:r>
      <w:r>
        <w:t>Recognise the ECTS awarded after successful completion.</w:t>
      </w:r>
    </w:p>
    <w:p>
      <w:pPr>
        <w:pStyle w:val="Heading1"/>
        <w:spacing w:after="80"/>
      </w:pPr>
      <w:r>
        <w:t>V. KA171 PARTICIPANTS</w:t>
      </w:r>
    </w:p>
    <w:p>
      <w:pPr>
        <w:spacing w:after="80"/>
      </w:pPr>
      <w:r>
        <w:t>External-policy KA171 funds do not provide the BIP organisational support. Incoming participants from third countries not associated to the Programme may participate with KA171 support where the receiving institution has an eligible parallel incoming flow. These participants do not count towards the minimum number of learners required for BIP organisational support.</w:t>
      </w:r>
    </w:p>
    <w:p>
      <w:pPr>
        <w:pStyle w:val="Heading1"/>
        <w:spacing w:after="80"/>
      </w:pPr>
      <w:r>
        <w:t>VI. BIP FILE</w:t>
      </w:r>
    </w:p>
    <w:p>
      <w:pPr>
        <w:pStyle w:val="ListBullet"/>
        <w:spacing w:after="80"/>
      </w:pPr>
      <w:r>
        <w:t>BIP concept and course description</w:t>
      </w:r>
    </w:p>
    <w:p>
      <w:pPr>
        <w:pStyle w:val="ListBullet"/>
        <w:spacing w:after="80"/>
      </w:pPr>
      <w:r>
        <w:t>partner/IIA records</w:t>
      </w:r>
    </w:p>
    <w:p>
      <w:pPr>
        <w:pStyle w:val="ListBullet"/>
        <w:spacing w:after="80"/>
      </w:pPr>
      <w:r>
        <w:t>participant nominations</w:t>
      </w:r>
    </w:p>
    <w:p>
      <w:pPr>
        <w:pStyle w:val="ListBullet"/>
        <w:spacing w:after="80"/>
      </w:pPr>
      <w:r>
        <w:t>Learning Agreements</w:t>
      </w:r>
    </w:p>
    <w:p>
      <w:pPr>
        <w:pStyle w:val="ListBullet"/>
        <w:spacing w:after="80"/>
      </w:pPr>
      <w:r>
        <w:t>virtual-component evidence</w:t>
      </w:r>
    </w:p>
    <w:p>
      <w:pPr>
        <w:pStyle w:val="ListBullet"/>
        <w:spacing w:after="80"/>
      </w:pPr>
      <w:r>
        <w:t>agenda/timetable</w:t>
      </w:r>
    </w:p>
    <w:p>
      <w:pPr>
        <w:pStyle w:val="ListBullet"/>
        <w:spacing w:after="80"/>
      </w:pPr>
      <w:r>
        <w:t>attendance list</w:t>
      </w:r>
    </w:p>
    <w:p>
      <w:pPr>
        <w:pStyle w:val="ListBullet"/>
        <w:spacing w:after="80"/>
      </w:pPr>
      <w:r>
        <w:t>assessment records</w:t>
      </w:r>
    </w:p>
    <w:p>
      <w:pPr>
        <w:pStyle w:val="ListBullet"/>
        <w:spacing w:after="80"/>
      </w:pPr>
      <w:r>
        <w:t>Transcript/Certificate</w:t>
      </w:r>
    </w:p>
    <w:p>
      <w:pPr>
        <w:pStyle w:val="ListBullet"/>
        <w:spacing w:after="80"/>
      </w:pPr>
      <w:r>
        <w:t>evaluation and dissemination evidence</w:t>
      </w:r>
    </w:p>
    <w:p>
      <w:pPr>
        <w:spacing w:after="80"/>
      </w:pPr>
      <w:r>
        <w:br w:type="page"/>
      </w:r>
    </w:p>
    <w:p>
      <w:pPr>
        <w:spacing w:after="80"/>
      </w:pPr>
      <w:r>
        <w:t>Participants from third countries not associated to the Programme funded through an eligible KA171 incoming flow may participate, but do not count towards this minimum.</w:t>
      </w:r>
    </w:p>
    <w:p>
      <w:pPr>
        <w:spacing w:after="80"/>
      </w:pPr>
      <w:r>
        <w:t>A BIP is eligible for organisational support only if it involves at least 10 Erasmus+ mobile learners supported by internal policy funds. Teaching/training staff involved in programme delivery do not count towards this minimum.</w:t>
      </w:r>
    </w:p>
    <w:p>
      <w:pPr>
        <w:pStyle w:val="Heading1"/>
        <w:spacing w:after="80"/>
      </w:pPr>
      <w:r>
        <w:t>Minimum mobile learners for BIP organisational support</w:t>
      </w:r>
    </w:p>
    <w:p>
      <w:pPr>
        <w:spacing w:after="80"/>
      </w:pPr>
      <w:r>
        <w:t>This document is applied together with the current Erasmus+ Programme Guide 2026, ECHE principles, the applicable Learning Agreement/Mobility Agreement templates, the Grant Agreement of the specific project and the rules of the competent National Agency. If a programme rule changes, the rule applicable to the relevant call/project year prevails.</w:t>
      </w:r>
    </w:p>
    <w:p>
      <w:pPr>
        <w:pStyle w:val="Heading1"/>
        <w:spacing w:after="80"/>
      </w:pPr>
      <w:r>
        <w:t>Programme basis and applicability</w:t>
      </w:r>
    </w:p>
    <w:p>
      <w:pPr/>
      <w:r>
        <w:t>The institutional continuity of Melius Academy originates from the former Academy of Business Economics in Čačak. The institution operated under that name and held a work permit dating back to 2009. During 2026, a change of seat and name was implemented: in May 2026 the move from Čačak to Belgrade and the new name “Melius Academy” were publicly announced; in July 2026 the institution published the formal change of name and seat and subsequently a new work permit issued by the Ministry of Education for the higher education institution “Melius Academy” based in Belgrade. The change therefore represents institutional continuity under a new name and seat rather than the establishment of an entirely new institution.</w:t>
      </w:r>
    </w:p>
    <w:p>
      <w:pPr/>
      <w:r>
        <w:t>Melius Academy is a higher education institution of academic studies based at Trešnjin cvet 11, Belgrade, Republic of Serbia. Regular teaching is delivered in Serbian. For incoming Erasmus+ students, English-language support may be arranged in advance with the Erasmus/International Coordinator, the responsible teacher and the relevant organisational unit. Depending on academic and organisational feasibility, this may include explanations in English, selected English-language materials or interpretation/translation support. Such support is not automatically guaranteed for every course and should be agreed before final approval of the Learning Agreement.</w:t>
      </w:r>
    </w:p>
    <w:p>
      <w:pPr>
        <w:pStyle w:val="Heading1"/>
      </w:pPr>
      <w:r>
        <w:t>Institutional profile and continuity</w:t>
      </w:r>
    </w:p>
    <w:p>
      <w:pPr>
        <w:spacing w:after="80"/>
        <w:jc w:val="center"/>
      </w:pPr>
      <w:r>
        <w:rPr>
          <w:b/>
          <w:color w:val="B4B4B4"/>
          <w:sz w:val="60"/>
        </w:rPr>
        <w:t>PRIMER / EXAMPLE</w:t>
      </w:r>
    </w:p>
    <w:p>
      <w:pPr>
        <w:spacing w:after="80"/>
        <w:jc w:val="center"/>
      </w:pPr>
      <w:r>
        <w:rPr>
          <w:b/>
          <w:color w:val="B40000"/>
          <w:sz w:val="26"/>
        </w:rPr>
        <w:t>DELETE THIS ENTIRE PAGE BEFORE OFFICIAL USE</w:t>
      </w:r>
    </w:p>
    <w:p>
      <w:pPr>
        <w:pStyle w:val="Heading2"/>
        <w:spacing w:after="80"/>
      </w:pPr>
      <w:r>
        <w:t>Worked example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Field</w:t>
            </w:r>
          </w:p>
        </w:tc>
        <w:tc>
          <w:tcPr>
            <w:tcW w:type="dxa" w:w="5083"/>
            <w:shd w:fill="E8F0F5"/>
          </w:tcPr>
          <w:p>
            <w:r>
              <w:rPr>
                <w:b/>
                <w:sz w:val="18"/>
              </w:rPr>
              <w:t>Completed example</w:t>
            </w:r>
          </w:p>
        </w:tc>
      </w:tr>
      <w:tr>
        <w:tc>
          <w:tcPr>
            <w:tcW w:type="dxa" w:w="5083"/>
            <w:vAlign w:val="center"/>
          </w:tcPr>
          <w:p>
            <w:r>
              <w:rPr>
                <w:sz w:val="18"/>
              </w:rPr>
              <w:t>BIP title</w:t>
            </w:r>
          </w:p>
        </w:tc>
        <w:tc>
          <w:tcPr>
            <w:tcW w:type="dxa" w:w="5083"/>
            <w:vAlign w:val="center"/>
          </w:tcPr>
          <w:p>
            <w:r>
              <w:rPr>
                <w:sz w:val="18"/>
              </w:rPr>
              <w:t>Digital Creativity and Sustainable Design</w:t>
            </w:r>
          </w:p>
        </w:tc>
      </w:tr>
      <w:tr>
        <w:tc>
          <w:tcPr>
            <w:tcW w:type="dxa" w:w="5083"/>
            <w:vAlign w:val="center"/>
          </w:tcPr>
          <w:p>
            <w:r>
              <w:rPr>
                <w:sz w:val="18"/>
              </w:rPr>
              <w:t>Virtual component</w:t>
            </w:r>
          </w:p>
        </w:tc>
        <w:tc>
          <w:tcPr>
            <w:tcW w:type="dxa" w:w="5083"/>
            <w:vAlign w:val="center"/>
          </w:tcPr>
          <w:p>
            <w:r>
              <w:rPr>
                <w:sz w:val="18"/>
              </w:rPr>
              <w:t>10–14 May 2027</w:t>
            </w:r>
          </w:p>
        </w:tc>
      </w:tr>
      <w:tr>
        <w:tc>
          <w:tcPr>
            <w:tcW w:type="dxa" w:w="5083"/>
            <w:vAlign w:val="center"/>
          </w:tcPr>
          <w:p>
            <w:r>
              <w:rPr>
                <w:sz w:val="18"/>
              </w:rPr>
              <w:t>Physical component</w:t>
            </w:r>
          </w:p>
        </w:tc>
        <w:tc>
          <w:tcPr>
            <w:tcW w:type="dxa" w:w="5083"/>
            <w:vAlign w:val="center"/>
          </w:tcPr>
          <w:p>
            <w:r>
              <w:rPr>
                <w:sz w:val="18"/>
              </w:rPr>
              <w:t>20–26 May 2027</w:t>
            </w:r>
          </w:p>
        </w:tc>
      </w:tr>
      <w:tr>
        <w:tc>
          <w:tcPr>
            <w:tcW w:type="dxa" w:w="5083"/>
            <w:vAlign w:val="center"/>
          </w:tcPr>
          <w:p>
            <w:r>
              <w:rPr>
                <w:sz w:val="18"/>
              </w:rPr>
              <w:t>ECTS</w:t>
            </w:r>
          </w:p>
        </w:tc>
        <w:tc>
          <w:tcPr>
            <w:tcW w:type="dxa" w:w="5083"/>
            <w:vAlign w:val="center"/>
          </w:tcPr>
          <w:p>
            <w:r>
              <w:rPr>
                <w:sz w:val="18"/>
              </w:rPr>
              <w:t>3 ECTS</w:t>
            </w:r>
          </w:p>
        </w:tc>
      </w:tr>
    </w:tbl>
    <w:p>
      <w:pPr>
        <w:spacing w:after="80"/>
      </w:pPr>
    </w:p>
    <w:p>
      <w:pPr>
        <w:spacing w:after="80"/>
        <w:jc w:val="center"/>
      </w:pPr>
      <w:r>
        <w:rPr>
          <w:b/>
          <w:color w:val="B40000"/>
        </w:rPr>
        <w:t>DELETE THIS ENTIRE PAGE BEFORE OFFICIAL USE</w:t>
      </w:r>
    </w:p>
    <w:sectPr w:rsidR="00FC693F" w:rsidRPr="0006063C" w:rsidSect="00034616">
      <w:headerReference w:type="default" r:id="rId9"/>
      <w:footerReference w:type="default" r:id="rId10"/>
      <w:pgSz w:w="12240" w:h="15840"/>
      <w:pgMar w:top="979" w:right="1037" w:bottom="936" w:left="1037" w:header="173"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E6E6E"/>
        <w:sz w:val="16"/>
      </w:rPr>
      <w:t>Melius Academy | Erasmus+ Higher Education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drawing>
        <wp:inline xmlns:a="http://schemas.openxmlformats.org/drawingml/2006/main" xmlns:pic="http://schemas.openxmlformats.org/drawingml/2006/picture">
          <wp:extent cx="6537960" cy="745327"/>
          <wp:docPr id="1" name="Picture 1"/>
          <wp:cNvGraphicFramePr>
            <a:graphicFrameLocks noChangeAspect="1"/>
          </wp:cNvGraphicFramePr>
          <a:graphic>
            <a:graphicData uri="http://schemas.openxmlformats.org/drawingml/2006/picture">
              <pic:pic>
                <pic:nvPicPr>
                  <pic:cNvPr id="0" name="Melius_Erasmus_Header_FINAL.png"/>
                  <pic:cNvPicPr/>
                </pic:nvPicPr>
                <pic:blipFill>
                  <a:blip r:embed="rId3"/>
                  <a:stretch>
                    <a:fillRect/>
                  </a:stretch>
                </pic:blipFill>
                <pic:spPr>
                  <a:xfrm>
                    <a:off x="0" y="0"/>
                    <a:ext cx="6537960" cy="745327"/>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22B38"/>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22B38"/>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122B3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22B38"/>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
    <w:name w:val="Article"/>
    <w:rPr>
      <w:rFonts w:ascii="Aptos" w:hAnsi="Aptos"/>
      <w:b/>
      <w:color w:val="122B38"/>
      <w:sz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