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80"/>
        <w:jc w:val="center"/>
      </w:pPr>
      <w:r>
        <w:rPr>
          <w:color w:val="5A5A5A"/>
          <w:sz w:val="18"/>
        </w:rPr>
      </w:r>
    </w:p>
    <w:p>
      <w:pPr>
        <w:jc w:val="center"/>
      </w:pPr>
      <w:r>
        <w:t>Melius Academy, Belgrade</w:t>
      </w:r>
    </w:p>
    <w:p>
      <w:pPr>
        <w:jc w:val="center"/>
      </w:pPr>
      <w:r>
        <w:rPr>
          <w:b/>
          <w:color w:val="501214"/>
        </w:rPr>
        <w:t>Visoka škola akademskih studija „Melius Academy“ – Beograd</w:t>
      </w:r>
    </w:p>
    <w:p>
      <w:pPr>
        <w:spacing w:before="1800" w:after="80"/>
        <w:jc w:val="center"/>
      </w:pPr>
      <w:r>
        <w:rPr>
          <w:b/>
          <w:color w:val="122B38"/>
          <w:sz w:val="42"/>
        </w:rPr>
        <w:t>BIP – BLENDED INTENSIVE PROGRAMME</w:t>
      </w:r>
    </w:p>
    <w:p>
      <w:pPr>
        <w:spacing w:after="80"/>
        <w:jc w:val="center"/>
      </w:pPr>
      <w:r>
        <w:rPr>
          <w:i/>
          <w:sz w:val="22"/>
        </w:rPr>
        <w:t>Organizacija, učešće, ECTS i priznavanje</w:t>
      </w:r>
    </w:p>
    <w:p>
      <w:pPr>
        <w:spacing w:after="80"/>
        <w:jc w:val="center"/>
      </w:pPr>
      <w:r>
        <w:rPr>
          <w:color w:val="646464"/>
          <w:sz w:val="20"/>
        </w:rPr>
        <w:t>Melius Academy | Erasmus+ Higher Education</w:t>
      </w:r>
    </w:p>
    <w:p>
      <w:pPr>
        <w:spacing w:after="80"/>
      </w:pPr>
      <w:r>
        <w:br w:type="page"/>
      </w:r>
    </w:p>
    <w:p>
      <w:pPr>
        <w:pStyle w:val="Heading1"/>
        <w:spacing w:after="80"/>
      </w:pPr>
      <w:r>
        <w:t>Legenda skraćenica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083"/>
        <w:gridCol w:w="5083"/>
      </w:tblGrid>
      <w:tr>
        <w:trPr>
          <w:tblHeader w:val="true"/>
        </w:trPr>
        <w:tc>
          <w:tcPr>
            <w:tcW w:type="dxa" w:w="5083"/>
            <w:shd w:fill="E8F0F5"/>
          </w:tcPr>
          <w:p>
            <w:r>
              <w:rPr>
                <w:b/>
                <w:sz w:val="18"/>
              </w:rPr>
              <w:t>Skraćenica</w:t>
            </w:r>
          </w:p>
        </w:tc>
        <w:tc>
          <w:tcPr>
            <w:tcW w:type="dxa" w:w="5083"/>
            <w:shd w:fill="E8F0F5"/>
          </w:tcPr>
          <w:p>
            <w:r>
              <w:rPr>
                <w:b/>
                <w:sz w:val="18"/>
              </w:rPr>
              <w:t>Značenje</w:t>
            </w:r>
          </w:p>
        </w:tc>
      </w:tr>
      <w:tr>
        <w:tc>
          <w:tcPr>
            <w:tcW w:type="dxa" w:w="5083"/>
            <w:vAlign w:val="center"/>
          </w:tcPr>
          <w:p>
            <w:r>
              <w:rPr>
                <w:sz w:val="18"/>
              </w:rPr>
              <w:t>SMS</w:t>
            </w:r>
          </w:p>
        </w:tc>
        <w:tc>
          <w:tcPr>
            <w:tcW w:type="dxa" w:w="5083"/>
            <w:vAlign w:val="center"/>
          </w:tcPr>
          <w:p>
            <w:r>
              <w:rPr>
                <w:sz w:val="18"/>
              </w:rPr>
              <w:t>Student Mobility for Studies – mobilnost studenata radi studiranja</w:t>
            </w:r>
          </w:p>
        </w:tc>
      </w:tr>
      <w:tr>
        <w:tc>
          <w:tcPr>
            <w:tcW w:type="dxa" w:w="5083"/>
            <w:vAlign w:val="center"/>
          </w:tcPr>
          <w:p>
            <w:r>
              <w:rPr>
                <w:sz w:val="18"/>
              </w:rPr>
              <w:t>SMT</w:t>
            </w:r>
          </w:p>
        </w:tc>
        <w:tc>
          <w:tcPr>
            <w:tcW w:type="dxa" w:w="5083"/>
            <w:vAlign w:val="center"/>
          </w:tcPr>
          <w:p>
            <w:r>
              <w:rPr>
                <w:sz w:val="18"/>
              </w:rPr>
              <w:t>Student Mobility for Traineeships – mobilnost studenata radi stručne prakse</w:t>
            </w:r>
          </w:p>
        </w:tc>
      </w:tr>
      <w:tr>
        <w:tc>
          <w:tcPr>
            <w:tcW w:type="dxa" w:w="5083"/>
            <w:vAlign w:val="center"/>
          </w:tcPr>
          <w:p>
            <w:r>
              <w:rPr>
                <w:sz w:val="18"/>
              </w:rPr>
              <w:t>STA</w:t>
            </w:r>
          </w:p>
        </w:tc>
        <w:tc>
          <w:tcPr>
            <w:tcW w:type="dxa" w:w="5083"/>
            <w:vAlign w:val="center"/>
          </w:tcPr>
          <w:p>
            <w:r>
              <w:rPr>
                <w:sz w:val="18"/>
              </w:rPr>
              <w:t>Staff Mobility for Teaching – mobilnost osoblja radi držanja nastave</w:t>
            </w:r>
          </w:p>
        </w:tc>
      </w:tr>
      <w:tr>
        <w:tc>
          <w:tcPr>
            <w:tcW w:type="dxa" w:w="5083"/>
            <w:vAlign w:val="center"/>
          </w:tcPr>
          <w:p>
            <w:r>
              <w:rPr>
                <w:sz w:val="18"/>
              </w:rPr>
              <w:t>STT</w:t>
            </w:r>
          </w:p>
        </w:tc>
        <w:tc>
          <w:tcPr>
            <w:tcW w:type="dxa" w:w="5083"/>
            <w:vAlign w:val="center"/>
          </w:tcPr>
          <w:p>
            <w:r>
              <w:rPr>
                <w:sz w:val="18"/>
              </w:rPr>
              <w:t>Staff Mobility for Training – mobilnost osoblja radi obuke</w:t>
            </w:r>
          </w:p>
        </w:tc>
      </w:tr>
      <w:tr>
        <w:tc>
          <w:tcPr>
            <w:tcW w:type="dxa" w:w="5083"/>
            <w:vAlign w:val="center"/>
          </w:tcPr>
          <w:p>
            <w:r>
              <w:rPr>
                <w:sz w:val="18"/>
              </w:rPr>
              <w:t>BIP</w:t>
            </w:r>
          </w:p>
        </w:tc>
        <w:tc>
          <w:tcPr>
            <w:tcW w:type="dxa" w:w="5083"/>
            <w:vAlign w:val="center"/>
          </w:tcPr>
          <w:p>
            <w:r>
              <w:rPr>
                <w:sz w:val="18"/>
              </w:rPr>
              <w:t>Blended Intensive Programme – kombinovani intenzivni program</w:t>
            </w:r>
          </w:p>
        </w:tc>
      </w:tr>
      <w:tr>
        <w:tc>
          <w:tcPr>
            <w:tcW w:type="dxa" w:w="5083"/>
            <w:vAlign w:val="center"/>
          </w:tcPr>
          <w:p>
            <w:r>
              <w:rPr>
                <w:sz w:val="18"/>
              </w:rPr>
              <w:t>ECTS / ESPB</w:t>
            </w:r>
          </w:p>
        </w:tc>
        <w:tc>
          <w:tcPr>
            <w:tcW w:type="dxa" w:w="5083"/>
            <w:vAlign w:val="center"/>
          </w:tcPr>
          <w:p>
            <w:r>
              <w:rPr>
                <w:sz w:val="18"/>
              </w:rPr>
              <w:t>European Credit Transfer and Accumulation System / Evropski sistem prenosa bodova</w:t>
            </w:r>
          </w:p>
        </w:tc>
      </w:tr>
      <w:tr>
        <w:tc>
          <w:tcPr>
            <w:tcW w:type="dxa" w:w="5083"/>
            <w:vAlign w:val="center"/>
          </w:tcPr>
          <w:p>
            <w:r>
              <w:rPr>
                <w:sz w:val="18"/>
              </w:rPr>
              <w:t>LA</w:t>
            </w:r>
          </w:p>
        </w:tc>
        <w:tc>
          <w:tcPr>
            <w:tcW w:type="dxa" w:w="5083"/>
            <w:vAlign w:val="center"/>
          </w:tcPr>
          <w:p>
            <w:r>
              <w:rPr>
                <w:sz w:val="18"/>
              </w:rPr>
              <w:t>Learning Agreement – ugovor o učenju</w:t>
            </w:r>
          </w:p>
        </w:tc>
      </w:tr>
      <w:tr>
        <w:tc>
          <w:tcPr>
            <w:tcW w:type="dxa" w:w="5083"/>
            <w:vAlign w:val="center"/>
          </w:tcPr>
          <w:p>
            <w:r>
              <w:rPr>
                <w:sz w:val="18"/>
              </w:rPr>
              <w:t>MA</w:t>
            </w:r>
          </w:p>
        </w:tc>
        <w:tc>
          <w:tcPr>
            <w:tcW w:type="dxa" w:w="5083"/>
            <w:vAlign w:val="center"/>
          </w:tcPr>
          <w:p>
            <w:r>
              <w:rPr>
                <w:sz w:val="18"/>
              </w:rPr>
              <w:t>Mobility Agreement – ugovor o programu mobilnosti osoblja</w:t>
            </w:r>
          </w:p>
        </w:tc>
      </w:tr>
      <w:tr>
        <w:tc>
          <w:tcPr>
            <w:tcW w:type="dxa" w:w="5083"/>
            <w:vAlign w:val="center"/>
          </w:tcPr>
          <w:p>
            <w:r>
              <w:rPr>
                <w:sz w:val="18"/>
              </w:rPr>
              <w:t>IIA</w:t>
            </w:r>
          </w:p>
        </w:tc>
        <w:tc>
          <w:tcPr>
            <w:tcW w:type="dxa" w:w="5083"/>
            <w:vAlign w:val="center"/>
          </w:tcPr>
          <w:p>
            <w:r>
              <w:rPr>
                <w:sz w:val="18"/>
              </w:rPr>
              <w:t>Inter-Institutional Agreement – međuinstitucionalni sporazum</w:t>
            </w:r>
          </w:p>
        </w:tc>
      </w:tr>
      <w:tr>
        <w:tc>
          <w:tcPr>
            <w:tcW w:type="dxa" w:w="5083"/>
            <w:vAlign w:val="center"/>
          </w:tcPr>
          <w:p>
            <w:r>
              <w:rPr>
                <w:sz w:val="18"/>
              </w:rPr>
              <w:t>HEI</w:t>
            </w:r>
          </w:p>
        </w:tc>
        <w:tc>
          <w:tcPr>
            <w:tcW w:type="dxa" w:w="5083"/>
            <w:vAlign w:val="center"/>
          </w:tcPr>
          <w:p>
            <w:r>
              <w:rPr>
                <w:sz w:val="18"/>
              </w:rPr>
              <w:t>Higher Education Institution – visokoškolska ustanova</w:t>
            </w:r>
          </w:p>
        </w:tc>
      </w:tr>
      <w:tr>
        <w:tc>
          <w:tcPr>
            <w:tcW w:type="dxa" w:w="5083"/>
            <w:vAlign w:val="center"/>
          </w:tcPr>
          <w:p>
            <w:r>
              <w:rPr>
                <w:sz w:val="18"/>
              </w:rPr>
              <w:t>ECHE</w:t>
            </w:r>
          </w:p>
        </w:tc>
        <w:tc>
          <w:tcPr>
            <w:tcW w:type="dxa" w:w="5083"/>
            <w:vAlign w:val="center"/>
          </w:tcPr>
          <w:p>
            <w:r>
              <w:rPr>
                <w:sz w:val="18"/>
              </w:rPr>
              <w:t>Erasmus Charter for Higher Education</w:t>
            </w:r>
          </w:p>
        </w:tc>
      </w:tr>
      <w:tr>
        <w:tc>
          <w:tcPr>
            <w:tcW w:type="dxa" w:w="5083"/>
            <w:vAlign w:val="center"/>
          </w:tcPr>
          <w:p>
            <w:r>
              <w:rPr>
                <w:sz w:val="18"/>
              </w:rPr>
              <w:t>EWP</w:t>
            </w:r>
          </w:p>
        </w:tc>
        <w:tc>
          <w:tcPr>
            <w:tcW w:type="dxa" w:w="5083"/>
            <w:vAlign w:val="center"/>
          </w:tcPr>
          <w:p>
            <w:r>
              <w:rPr>
                <w:sz w:val="18"/>
              </w:rPr>
              <w:t>Erasmus Without Paper</w:t>
            </w:r>
          </w:p>
        </w:tc>
      </w:tr>
    </w:tbl>
    <w:p>
      <w:pPr>
        <w:spacing w:after="80"/>
      </w:pPr>
    </w:p>
    <w:p>
      <w:pPr>
        <w:pStyle w:val="Heading1"/>
        <w:spacing w:after="80"/>
      </w:pPr>
      <w:r>
        <w:t>I. DEFINICIJA I OSNOV</w:t>
      </w:r>
    </w:p>
    <w:p>
      <w:pPr>
        <w:pStyle w:val="Article"/>
        <w:spacing w:after="80"/>
      </w:pPr>
      <w:r>
        <w:t>Član 1. – BIP</w:t>
      </w:r>
    </w:p>
    <w:p>
      <w:pPr>
        <w:spacing w:after="80"/>
      </w:pPr>
      <w:r>
        <w:t>Blended Intensive Programme je kratki intenzivni program koji kombinuje fizičku mobilnost sa obaveznom virtuelnom komponentom i zajedničkim učenjem najmanje tri visokoškolske ustanove iz najmanje tri države članice EU ili treće zemlje pridružene Programu, u skladu sa važećim pravilima.</w:t>
      </w:r>
    </w:p>
    <w:p>
      <w:pPr>
        <w:pStyle w:val="Article"/>
        <w:spacing w:after="80"/>
      </w:pPr>
      <w:r>
        <w:t>Član 2. – Studenti i ECTS</w:t>
      </w:r>
    </w:p>
    <w:p>
      <w:pPr>
        <w:spacing w:after="80"/>
      </w:pPr>
      <w:r>
        <w:t>Fizička komponenta studentske mobilnosti u BIP-u traje od 5 do 30 dana, ne računajući dane puta. Virtuelna komponenta je obavezna. Za uspešno završen BIP student ostvaruje najmanje 3 ECTS/ESPB.</w:t>
      </w:r>
    </w:p>
    <w:p>
      <w:pPr>
        <w:pStyle w:val="Heading1"/>
        <w:spacing w:after="80"/>
      </w:pPr>
      <w:r>
        <w:t>II. Melius Academy KAO KOORDINATOR/RECEIVING HEI</w:t>
      </w:r>
    </w:p>
    <w:p>
      <w:pPr>
        <w:pStyle w:val="Heading3"/>
        <w:spacing w:after="80"/>
      </w:pPr>
      <w:r>
        <w:t>Organizacija BIP-a</w:t>
      </w:r>
    </w:p>
    <w:p>
      <w:pPr>
        <w:spacing w:after="80"/>
      </w:pPr>
      <w:r>
        <w:rPr>
          <w:b/>
        </w:rPr>
        <w:t xml:space="preserve">Korak 1. </w:t>
      </w:r>
      <w:r>
        <w:t>Definisati temu, ishode učenja, ciljnu grupu, akademski nivo i minimalno 3 ECTS.</w:t>
      </w:r>
    </w:p>
    <w:p>
      <w:pPr>
        <w:spacing w:after="80"/>
      </w:pPr>
      <w:r>
        <w:rPr>
          <w:b/>
        </w:rPr>
        <w:t xml:space="preserve">Korak 2. </w:t>
      </w:r>
      <w:r>
        <w:t>Obezbediti najmanje tri partnerske HEI iz najmanje tri odgovarajuće zemlje u skladu sa pravilima programa.</w:t>
      </w:r>
    </w:p>
    <w:p>
      <w:pPr>
        <w:spacing w:after="80"/>
      </w:pPr>
      <w:r>
        <w:rPr>
          <w:b/>
        </w:rPr>
        <w:t xml:space="preserve">Korak 3. </w:t>
      </w:r>
      <w:r>
        <w:t>Definisati fizičku lokaciju, datume 5–30 dana i virtuelnu komponentu.</w:t>
      </w:r>
    </w:p>
    <w:p>
      <w:pPr>
        <w:spacing w:after="80"/>
      </w:pPr>
      <w:r>
        <w:rPr>
          <w:b/>
        </w:rPr>
        <w:t xml:space="preserve">Korak 4. </w:t>
      </w:r>
      <w:r>
        <w:t>Urediti uloge partnera, izbor učesnika, nastavnike/trenere i akademsku odgovornost.</w:t>
      </w:r>
    </w:p>
    <w:p>
      <w:pPr>
        <w:spacing w:after="80"/>
      </w:pPr>
      <w:r>
        <w:rPr>
          <w:b/>
        </w:rPr>
        <w:t xml:space="preserve">Korak 5. </w:t>
      </w:r>
      <w:r>
        <w:t>Proveriti da su potrebni inter-institutional agreements zaključeni za relevantne mobilnosti.</w:t>
      </w:r>
    </w:p>
    <w:p>
      <w:pPr>
        <w:spacing w:after="80"/>
      </w:pPr>
      <w:r>
        <w:rPr>
          <w:b/>
        </w:rPr>
        <w:t xml:space="preserve">Korak 6. </w:t>
      </w:r>
      <w:r>
        <w:t>Definisati način ocenjivanja i kriterijume za dodelu najmanje 3 ECTS.</w:t>
      </w:r>
    </w:p>
    <w:p>
      <w:pPr>
        <w:spacing w:after="80"/>
      </w:pPr>
      <w:r>
        <w:rPr>
          <w:b/>
        </w:rPr>
        <w:t xml:space="preserve">Korak 7. </w:t>
      </w:r>
      <w:r>
        <w:t>Objaviti course description / BIP information sheet na engleskom.</w:t>
      </w:r>
    </w:p>
    <w:p>
      <w:pPr>
        <w:spacing w:after="80"/>
      </w:pPr>
      <w:r>
        <w:rPr>
          <w:b/>
        </w:rPr>
        <w:t xml:space="preserve">Korak 8. </w:t>
      </w:r>
      <w:r>
        <w:t>Partneri nominuju učesnike; Melius Academy proverava i potvrđuje prijem.</w:t>
      </w:r>
    </w:p>
    <w:p>
      <w:pPr>
        <w:spacing w:after="80"/>
      </w:pPr>
      <w:r>
        <w:rPr>
          <w:b/>
        </w:rPr>
        <w:t xml:space="preserve">Korak 9. </w:t>
      </w:r>
      <w:r>
        <w:t>Prikupiti Learning Agreements/odgovarajuće mobilne dokumente.</w:t>
      </w:r>
    </w:p>
    <w:p>
      <w:pPr>
        <w:spacing w:after="80"/>
      </w:pPr>
      <w:r>
        <w:rPr>
          <w:b/>
        </w:rPr>
        <w:t xml:space="preserve">Korak 10. </w:t>
      </w:r>
      <w:r>
        <w:t>Organizovati virtualni deo sa dokazivim učešćem i jasno definisanim zadacima.</w:t>
      </w:r>
    </w:p>
    <w:p>
      <w:pPr>
        <w:spacing w:after="80"/>
      </w:pPr>
      <w:r>
        <w:rPr>
          <w:b/>
        </w:rPr>
        <w:t xml:space="preserve">Korak 11. </w:t>
      </w:r>
      <w:r>
        <w:t>Realizovati fizički deo, voditi attendance i dnevni program.</w:t>
      </w:r>
    </w:p>
    <w:p>
      <w:pPr>
        <w:spacing w:after="80"/>
      </w:pPr>
      <w:r>
        <w:rPr>
          <w:b/>
        </w:rPr>
        <w:t xml:space="preserve">Korak 12. </w:t>
      </w:r>
      <w:r>
        <w:t>Sprovesti evaluaciju učenja i dodeliti ECTS.</w:t>
      </w:r>
    </w:p>
    <w:p>
      <w:pPr>
        <w:spacing w:after="80"/>
      </w:pPr>
      <w:r>
        <w:rPr>
          <w:b/>
        </w:rPr>
        <w:t xml:space="preserve">Korak 13. </w:t>
      </w:r>
      <w:r>
        <w:t>Izdati Transcript/Certificate sa jasno navedenim BIP naslovom i ECTS.</w:t>
      </w:r>
    </w:p>
    <w:p>
      <w:pPr>
        <w:spacing w:after="80"/>
      </w:pPr>
      <w:r>
        <w:rPr>
          <w:b/>
        </w:rPr>
        <w:t xml:space="preserve">Korak 14. </w:t>
      </w:r>
      <w:r>
        <w:t>Prikupiti evaluaciju učesnika i partnerski feedback.</w:t>
      </w:r>
    </w:p>
    <w:p>
      <w:pPr>
        <w:spacing w:after="80"/>
      </w:pPr>
      <w:r>
        <w:rPr>
          <w:b/>
        </w:rPr>
        <w:t xml:space="preserve">Korak 15. </w:t>
      </w:r>
      <w:r>
        <w:t>Arhivirati dokumentaciju i sprovesti diseminaciju.</w:t>
      </w:r>
    </w:p>
    <w:p>
      <w:pPr>
        <w:pStyle w:val="Heading1"/>
        <w:spacing w:after="80"/>
      </w:pPr>
      <w:r>
        <w:t>III. Melius Academy KAO SENDING HEI</w:t>
      </w:r>
    </w:p>
    <w:p>
      <w:pPr>
        <w:pStyle w:val="Heading3"/>
        <w:spacing w:after="80"/>
      </w:pPr>
      <w:r>
        <w:t>Slanje studenata na BIP</w:t>
      </w:r>
    </w:p>
    <w:p>
      <w:pPr>
        <w:spacing w:after="80"/>
      </w:pPr>
      <w:r>
        <w:rPr>
          <w:b/>
        </w:rPr>
        <w:t xml:space="preserve">Korak 1. </w:t>
      </w:r>
      <w:r>
        <w:t>Prijem poziva partnerske institucije.</w:t>
      </w:r>
    </w:p>
    <w:p>
      <w:pPr>
        <w:spacing w:after="80"/>
      </w:pPr>
      <w:r>
        <w:rPr>
          <w:b/>
        </w:rPr>
        <w:t xml:space="preserve">Korak 2. </w:t>
      </w:r>
      <w:r>
        <w:t>Provera akademske relevantnosti i ECTS.</w:t>
      </w:r>
    </w:p>
    <w:p>
      <w:pPr>
        <w:spacing w:after="80"/>
      </w:pPr>
      <w:r>
        <w:rPr>
          <w:b/>
        </w:rPr>
        <w:t xml:space="preserve">Korak 3. </w:t>
      </w:r>
      <w:r>
        <w:t>Interni poziv/selektivni postupak kada je potreban.</w:t>
      </w:r>
    </w:p>
    <w:p>
      <w:pPr>
        <w:spacing w:after="80"/>
      </w:pPr>
      <w:r>
        <w:rPr>
          <w:b/>
        </w:rPr>
        <w:t xml:space="preserve">Korak 4. </w:t>
      </w:r>
      <w:r>
        <w:t>Learning Agreement i unapred definisano priznavanje.</w:t>
      </w:r>
    </w:p>
    <w:p>
      <w:pPr>
        <w:spacing w:after="80"/>
      </w:pPr>
      <w:r>
        <w:rPr>
          <w:b/>
        </w:rPr>
        <w:t xml:space="preserve">Korak 5. </w:t>
      </w:r>
      <w:r>
        <w:t>Grant Agreement i putna podrška prema KA131 ili odgovarajućem izvoru.</w:t>
      </w:r>
    </w:p>
    <w:p>
      <w:pPr>
        <w:spacing w:after="80"/>
      </w:pPr>
      <w:r>
        <w:rPr>
          <w:b/>
        </w:rPr>
        <w:t xml:space="preserve">Korak 6. </w:t>
      </w:r>
      <w:r>
        <w:t>Učešće u virtuelnoj i fizičkoj komponenti.</w:t>
      </w:r>
    </w:p>
    <w:p>
      <w:pPr>
        <w:spacing w:after="80"/>
      </w:pPr>
      <w:r>
        <w:rPr>
          <w:b/>
        </w:rPr>
        <w:t xml:space="preserve">Korak 7. </w:t>
      </w:r>
      <w:r>
        <w:t>Dokaz o uspešnom završetku i najmanje 3 ECTS.</w:t>
      </w:r>
    </w:p>
    <w:p>
      <w:pPr>
        <w:spacing w:after="80"/>
      </w:pPr>
      <w:r>
        <w:rPr>
          <w:b/>
        </w:rPr>
        <w:t xml:space="preserve">Korak 8. </w:t>
      </w:r>
      <w:r>
        <w:t>Priznavanje u Melius Academy bez dodatnih obaveza samo radi priznavanja.</w:t>
      </w:r>
    </w:p>
    <w:p>
      <w:pPr>
        <w:pStyle w:val="Heading1"/>
        <w:spacing w:after="80"/>
      </w:pPr>
      <w:r>
        <w:t>IV. KA171 UČESNICI U BIP-u</w:t>
      </w:r>
    </w:p>
    <w:p>
      <w:pPr>
        <w:pStyle w:val="Article"/>
        <w:spacing w:after="80"/>
      </w:pPr>
      <w:r>
        <w:t>Član 3. – Poseban slučaj</w:t>
      </w:r>
    </w:p>
    <w:p>
      <w:pPr>
        <w:spacing w:after="80"/>
      </w:pPr>
      <w:r>
        <w:t>KA171 sredstva ne finansiraju BIP organisational support. Međutim, kada Melius Academy ima odgovarajući KA171 incoming tok i budžet, pojedinačni KA171 učesnik može koristiti svoju mobilnost za učešće u BIP-u organizovanom u odgovarajućem KA131 okviru, uz poštovanje pravila oba relevantna mehanizma.</w:t>
      </w:r>
    </w:p>
    <w:p>
      <w:pPr>
        <w:pStyle w:val="Heading1"/>
        <w:spacing w:after="80"/>
      </w:pPr>
      <w:r>
        <w:t>V. BIP DOSIJE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083"/>
        <w:gridCol w:w="5083"/>
      </w:tblGrid>
      <w:tr>
        <w:trPr>
          <w:tblHeader w:val="true"/>
        </w:trPr>
        <w:tc>
          <w:tcPr>
            <w:tcW w:type="dxa" w:w="5083"/>
            <w:shd w:fill="D9EAF7"/>
          </w:tcPr>
          <w:p>
            <w:r>
              <w:rPr>
                <w:b/>
                <w:sz w:val="18"/>
              </w:rPr>
              <w:t>Dokument</w:t>
            </w:r>
          </w:p>
        </w:tc>
        <w:tc>
          <w:tcPr>
            <w:tcW w:type="dxa" w:w="5083"/>
            <w:shd w:fill="D9EAF7"/>
          </w:tcPr>
          <w:p>
            <w:r>
              <w:rPr>
                <w:b/>
                <w:sz w:val="18"/>
              </w:rPr>
              <w:t>Obavezno/po potrebi</w:t>
            </w:r>
          </w:p>
        </w:tc>
      </w:tr>
      <w:tr>
        <w:tc>
          <w:tcPr>
            <w:tcW w:type="dxa" w:w="5083"/>
            <w:vAlign w:val="center"/>
          </w:tcPr>
          <w:p>
            <w:r>
              <w:t>BIP concept/course description</w:t>
            </w:r>
          </w:p>
        </w:tc>
        <w:tc>
          <w:tcPr>
            <w:tcW w:type="dxa" w:w="5083"/>
            <w:vAlign w:val="center"/>
          </w:tcPr>
          <w:p>
            <w:r>
              <w:t>Obavezno</w:t>
            </w:r>
          </w:p>
        </w:tc>
      </w:tr>
      <w:tr>
        <w:tc>
          <w:tcPr>
            <w:tcW w:type="dxa" w:w="5083"/>
            <w:vAlign w:val="center"/>
          </w:tcPr>
          <w:p>
            <w:r>
              <w:t>partner agreement/IIA</w:t>
            </w:r>
          </w:p>
        </w:tc>
        <w:tc>
          <w:tcPr>
            <w:tcW w:type="dxa" w:w="5083"/>
            <w:vAlign w:val="center"/>
          </w:tcPr>
          <w:p>
            <w:r>
              <w:t>Obavezno</w:t>
            </w:r>
          </w:p>
        </w:tc>
      </w:tr>
      <w:tr>
        <w:tc>
          <w:tcPr>
            <w:tcW w:type="dxa" w:w="5083"/>
            <w:vAlign w:val="center"/>
          </w:tcPr>
          <w:p>
            <w:r>
              <w:t>participant list</w:t>
            </w:r>
          </w:p>
        </w:tc>
        <w:tc>
          <w:tcPr>
            <w:tcW w:type="dxa" w:w="5083"/>
            <w:vAlign w:val="center"/>
          </w:tcPr>
          <w:p>
            <w:r>
              <w:t>Obavezno</w:t>
            </w:r>
          </w:p>
        </w:tc>
      </w:tr>
      <w:tr>
        <w:tc>
          <w:tcPr>
            <w:tcW w:type="dxa" w:w="5083"/>
            <w:vAlign w:val="center"/>
          </w:tcPr>
          <w:p>
            <w:r>
              <w:t>Learning Agreements</w:t>
            </w:r>
          </w:p>
        </w:tc>
        <w:tc>
          <w:tcPr>
            <w:tcW w:type="dxa" w:w="5083"/>
            <w:vAlign w:val="center"/>
          </w:tcPr>
          <w:p>
            <w:r>
              <w:t>Obavezno</w:t>
            </w:r>
          </w:p>
        </w:tc>
      </w:tr>
      <w:tr>
        <w:tc>
          <w:tcPr>
            <w:tcW w:type="dxa" w:w="5083"/>
            <w:vAlign w:val="center"/>
          </w:tcPr>
          <w:p>
            <w:r>
              <w:t>virtual component evidence</w:t>
            </w:r>
          </w:p>
        </w:tc>
        <w:tc>
          <w:tcPr>
            <w:tcW w:type="dxa" w:w="5083"/>
            <w:vAlign w:val="center"/>
          </w:tcPr>
          <w:p>
            <w:r>
              <w:t>Obavezno</w:t>
            </w:r>
          </w:p>
        </w:tc>
      </w:tr>
      <w:tr>
        <w:tc>
          <w:tcPr>
            <w:tcW w:type="dxa" w:w="5083"/>
            <w:vAlign w:val="center"/>
          </w:tcPr>
          <w:p>
            <w:r>
              <w:t>attendance list</w:t>
            </w:r>
          </w:p>
        </w:tc>
        <w:tc>
          <w:tcPr>
            <w:tcW w:type="dxa" w:w="5083"/>
            <w:vAlign w:val="center"/>
          </w:tcPr>
          <w:p>
            <w:r>
              <w:t>Obavezno</w:t>
            </w:r>
          </w:p>
        </w:tc>
      </w:tr>
      <w:tr>
        <w:tc>
          <w:tcPr>
            <w:tcW w:type="dxa" w:w="5083"/>
            <w:vAlign w:val="center"/>
          </w:tcPr>
          <w:p>
            <w:r>
              <w:t>agenda/timetable</w:t>
            </w:r>
          </w:p>
        </w:tc>
        <w:tc>
          <w:tcPr>
            <w:tcW w:type="dxa" w:w="5083"/>
            <w:vAlign w:val="center"/>
          </w:tcPr>
          <w:p>
            <w:r>
              <w:t>Obavezno</w:t>
            </w:r>
          </w:p>
        </w:tc>
      </w:tr>
      <w:tr>
        <w:tc>
          <w:tcPr>
            <w:tcW w:type="dxa" w:w="5083"/>
            <w:vAlign w:val="center"/>
          </w:tcPr>
          <w:p>
            <w:r>
              <w:t>assessment records</w:t>
            </w:r>
          </w:p>
        </w:tc>
        <w:tc>
          <w:tcPr>
            <w:tcW w:type="dxa" w:w="5083"/>
            <w:vAlign w:val="center"/>
          </w:tcPr>
          <w:p>
            <w:r>
              <w:t>Obavezno</w:t>
            </w:r>
          </w:p>
        </w:tc>
      </w:tr>
      <w:tr>
        <w:tc>
          <w:tcPr>
            <w:tcW w:type="dxa" w:w="5083"/>
            <w:vAlign w:val="center"/>
          </w:tcPr>
          <w:p>
            <w:r>
              <w:t>Transcript/Certificate</w:t>
            </w:r>
          </w:p>
        </w:tc>
        <w:tc>
          <w:tcPr>
            <w:tcW w:type="dxa" w:w="5083"/>
            <w:vAlign w:val="center"/>
          </w:tcPr>
          <w:p>
            <w:r>
              <w:t>Obavezno</w:t>
            </w:r>
          </w:p>
        </w:tc>
      </w:tr>
      <w:tr>
        <w:tc>
          <w:tcPr>
            <w:tcW w:type="dxa" w:w="5083"/>
            <w:vAlign w:val="center"/>
          </w:tcPr>
          <w:p>
            <w:r>
              <w:t>evaluation</w:t>
            </w:r>
          </w:p>
        </w:tc>
        <w:tc>
          <w:tcPr>
            <w:tcW w:type="dxa" w:w="5083"/>
            <w:vAlign w:val="center"/>
          </w:tcPr>
          <w:p>
            <w:r>
              <w:t>Obavezno</w:t>
            </w:r>
          </w:p>
        </w:tc>
      </w:tr>
      <w:tr>
        <w:tc>
          <w:tcPr>
            <w:tcW w:type="dxa" w:w="5083"/>
            <w:vAlign w:val="center"/>
          </w:tcPr>
          <w:p>
            <w:r>
              <w:t>KA171 linkage evidence</w:t>
            </w:r>
          </w:p>
        </w:tc>
        <w:tc>
          <w:tcPr>
            <w:tcW w:type="dxa" w:w="5083"/>
            <w:vAlign w:val="center"/>
          </w:tcPr>
          <w:p>
            <w:r>
              <w:t>Po potrebi</w:t>
            </w:r>
          </w:p>
        </w:tc>
      </w:tr>
    </w:tbl>
    <w:p>
      <w:pPr>
        <w:pStyle w:val="Heading1"/>
        <w:spacing w:after="80"/>
      </w:pPr>
      <w:r>
        <w:t>Programski izvori</w:t>
      </w:r>
    </w:p>
    <w:p>
      <w:pPr>
        <w:pStyle w:val="ListBullet"/>
        <w:spacing w:after="80"/>
      </w:pPr>
      <w:r>
        <w:t>Erasmus+ Programme Guide 2026 – Mobility projects for higher education students and staff (KA131-HED / KA171-HED).</w:t>
      </w:r>
    </w:p>
    <w:p>
      <w:pPr>
        <w:pStyle w:val="ListBullet"/>
        <w:spacing w:after="80"/>
      </w:pPr>
      <w:r>
        <w:t>Erasmus Charter for Higher Education (ECHE) 2021–2027 i ECHE quality principles.</w:t>
      </w:r>
    </w:p>
    <w:p>
      <w:pPr>
        <w:pStyle w:val="ListBullet"/>
        <w:spacing w:after="80"/>
      </w:pPr>
      <w:r>
        <w:t>Erasmus+ Student Charter.</w:t>
      </w:r>
    </w:p>
    <w:p>
      <w:pPr>
        <w:pStyle w:val="ListBullet"/>
        <w:spacing w:after="80"/>
      </w:pPr>
      <w:r>
        <w:t>Važeći Learning Agreement obrasci i smernice za Studies i Traineeships (KA131/KA171).</w:t>
      </w:r>
    </w:p>
    <w:p>
      <w:pPr>
        <w:pStyle w:val="ListBullet"/>
        <w:spacing w:after="80"/>
      </w:pPr>
      <w:r>
        <w:t>Važeći Mobility Agreement obrasci za Staff Mobility for Teaching i Staff Mobility for Training.</w:t>
      </w:r>
    </w:p>
    <w:p>
      <w:pPr>
        <w:pStyle w:val="ListBullet"/>
        <w:spacing w:after="80"/>
      </w:pPr>
      <w:r>
        <w:t>Važeći Grant Agreement, Beneficiary Module pravila i nacionalna pravila Fondacije Tempus za konkretnu projektnu godinu.</w:t>
      </w:r>
    </w:p>
    <w:p>
      <w:pPr>
        <w:spacing w:after="80"/>
      </w:pPr>
      <w:r>
        <w:t>Promenljivi iznosi grantova, top-up podrške i putnih troškova ne utvrđuju se ovim dokumentom, već se primenjuju prema važećem projektu i pravilima za konkretnu godinu poziva.</w:t>
      </w:r>
    </w:p>
    <w:p>
      <w:pPr>
        <w:spacing w:after="80"/>
      </w:pPr>
      <w:r>
        <w:br w:type="page"/>
      </w:r>
    </w:p>
    <w:p>
      <w:pPr>
        <w:spacing w:after="80"/>
      </w:pPr>
      <w:r>
        <w:t>Za BIP organisational support finansiranje se obračunava prema broju odgovarajućih mobilnih učesnika u granicama utvrđenim važećim Programme Guide-om i konkretnim Grant Agreement-om.</w:t>
      </w:r>
    </w:p>
    <w:p>
      <w:pPr>
        <w:spacing w:after="80"/>
      </w:pPr>
      <w:r>
        <w:t>Učesnici iz trećih zemalja koje nisu pridružene Programu, koji se finansiraju kroz odgovarajući KA171 incoming tok, mogu učestvovati u BIP-u, ali se ne računaju u navedeni minimum za BIP organisational support.</w:t>
      </w:r>
    </w:p>
    <w:p>
      <w:pPr>
        <w:spacing w:after="80"/>
      </w:pPr>
      <w:r>
        <w:t>Da bi BIP bio prihvatljiv za organisational support, potrebno je najmanje 10 Erasmus+ mobilnih učesnika-learnera finansiranih iz internal policy funds. Nastavnici i treneri koji učestvuju u realizaciji programa ne računaju se u ovaj minimum.</w:t>
      </w:r>
    </w:p>
    <w:p>
      <w:pPr>
        <w:pStyle w:val="Heading1"/>
        <w:spacing w:after="80"/>
      </w:pPr>
      <w:r>
        <w:t>VI. MINIMALNI BROJ UČESNIKA ZA BIP ORGANISATIONAL SUPPORT</w:t>
      </w:r>
    </w:p>
    <w:p>
      <w:pPr>
        <w:spacing w:after="80"/>
      </w:pPr>
      <w:r>
        <w:t>Ovaj dokument se primenjuje zajedno sa važećim Erasmus+ Programme Guide 2026, ECHE principima, odgovarajućim Learning Agreement/Mobility Agreement obrascima, Grant Agreement-om konkretnog projekta i pravilima nadležne Nacionalne agencije. Ako se programsko pravilo promeni, primenjuje se važeće pravilo za godinu poziva/projekta.</w:t>
      </w:r>
    </w:p>
    <w:p>
      <w:pPr>
        <w:pStyle w:val="Heading1"/>
        <w:spacing w:after="80"/>
      </w:pPr>
      <w:r>
        <w:t>Programski osnov i važenje pravila</w:t>
      </w:r>
    </w:p>
    <w:p>
      <w:pPr/>
      <w:r>
        <w:t>Institucionalni kontinuitet Melius Academy potiče od Akademije za poslovnu ekonomiju u Čačku. Ustanova je poslovala pod tim nazivom i imala dozvolu za rad još od 2009. godine. Tokom 2026. sprovedena je promena sedišta i naziva: u maju 2026. javno je najavljena promena sedišta iz Čačka u Beograd i novi naziv „Melius Academy“, u julu 2026. objavljeno je rešenje o promeni naziva i sedišta, a zatim i nova dozvola za rad Ministarstva prosvete za Visoku školu akademskih studija „Melius Academy“ sa sedištem u Beogradu. Ova promena predstavlja nastavak rada iste visokoškolske ustanove pod novim identitetom i na novom sedištu, a ne osnivanje potpuno nove ustanove.</w:t>
      </w:r>
    </w:p>
    <w:p>
      <w:pPr/>
      <w:r>
        <w:t>Visoka škola akademskih studija „Melius Academy“ je visokoškolska ustanova akademskih studija sa sedištem u Beogradu, Trešnjin cvet 11. U Erasmus+ dokumentaciji ustanova koristi naziv Melius Academy. Redovna nastava se izvodi na srpskom jeziku. Za dolazne Erasmus+ studente moguće je, uz prethodni dogovor sa Erasmus+/međunarodnim koordinatorom, nadležnim nastavnikom i odgovarajućom organizacionom jedinicom, organizovati podršku na engleskom jeziku, uključujući pojašnjenja, odabrane materijale na engleskom ili prevodilačku/jezičku podršku kada je to akademski i organizaciono izvodljivo. Takva podrška nije automatski garantovana za svaki predmet i treba da bude dogovorena pre konačnog odobravanja Learning Agreement-a.</w:t>
      </w:r>
    </w:p>
    <w:p>
      <w:pPr>
        <w:pStyle w:val="Heading1"/>
      </w:pPr>
      <w:r>
        <w:t>Institucionalni profil i kontinuitet</w:t>
      </w:r>
    </w:p>
    <w:p>
      <w:pPr>
        <w:spacing w:after="80"/>
        <w:jc w:val="center"/>
      </w:pPr>
      <w:r>
        <w:rPr>
          <w:b/>
          <w:color w:val="B4B4B4"/>
          <w:sz w:val="60"/>
        </w:rPr>
        <w:t>PRIMER / EXAMPLE</w:t>
      </w:r>
    </w:p>
    <w:p>
      <w:pPr>
        <w:spacing w:after="80"/>
        <w:jc w:val="center"/>
      </w:pPr>
      <w:r>
        <w:rPr>
          <w:b/>
          <w:color w:val="B40000"/>
          <w:sz w:val="26"/>
        </w:rPr>
        <w:t>OBRISATI CELU OVU STRANICU PRE ZVANIČNE UPOTREBE</w:t>
      </w:r>
    </w:p>
    <w:p>
      <w:pPr>
        <w:pStyle w:val="Heading2"/>
        <w:spacing w:after="80"/>
      </w:pPr>
      <w:r>
        <w:t>Primer primene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083"/>
        <w:gridCol w:w="5083"/>
      </w:tblGrid>
      <w:tr>
        <w:trPr>
          <w:tblHeader w:val="true"/>
        </w:trPr>
        <w:tc>
          <w:tcPr>
            <w:tcW w:type="dxa" w:w="5083"/>
            <w:shd w:fill="E8F0F5"/>
          </w:tcPr>
          <w:p>
            <w:r>
              <w:rPr>
                <w:b/>
                <w:sz w:val="18"/>
              </w:rPr>
              <w:t>Polje</w:t>
            </w:r>
          </w:p>
        </w:tc>
        <w:tc>
          <w:tcPr>
            <w:tcW w:type="dxa" w:w="5083"/>
            <w:shd w:fill="E8F0F5"/>
          </w:tcPr>
          <w:p>
            <w:r>
              <w:rPr>
                <w:b/>
                <w:sz w:val="18"/>
              </w:rPr>
              <w:t>Popunjen primer</w:t>
            </w:r>
          </w:p>
        </w:tc>
      </w:tr>
      <w:tr>
        <w:tc>
          <w:tcPr>
            <w:tcW w:type="dxa" w:w="5083"/>
            <w:vAlign w:val="center"/>
          </w:tcPr>
          <w:p>
            <w:r>
              <w:rPr>
                <w:sz w:val="18"/>
              </w:rPr>
              <w:t>BIP</w:t>
            </w:r>
          </w:p>
        </w:tc>
        <w:tc>
          <w:tcPr>
            <w:tcW w:type="dxa" w:w="5083"/>
            <w:vAlign w:val="center"/>
          </w:tcPr>
          <w:p>
            <w:r>
              <w:rPr>
                <w:sz w:val="18"/>
              </w:rPr>
              <w:t>Digital Creativity and Sustainable Design</w:t>
            </w:r>
          </w:p>
        </w:tc>
      </w:tr>
      <w:tr>
        <w:tc>
          <w:tcPr>
            <w:tcW w:type="dxa" w:w="5083"/>
            <w:vAlign w:val="center"/>
          </w:tcPr>
          <w:p>
            <w:r>
              <w:rPr>
                <w:sz w:val="18"/>
              </w:rPr>
              <w:t>Virtuelno</w:t>
            </w:r>
          </w:p>
        </w:tc>
        <w:tc>
          <w:tcPr>
            <w:tcW w:type="dxa" w:w="5083"/>
            <w:vAlign w:val="center"/>
          </w:tcPr>
          <w:p>
            <w:r>
              <w:rPr>
                <w:sz w:val="18"/>
              </w:rPr>
              <w:t>10–14.05.2027</w:t>
            </w:r>
          </w:p>
        </w:tc>
      </w:tr>
      <w:tr>
        <w:tc>
          <w:tcPr>
            <w:tcW w:type="dxa" w:w="5083"/>
            <w:vAlign w:val="center"/>
          </w:tcPr>
          <w:p>
            <w:r>
              <w:rPr>
                <w:sz w:val="18"/>
              </w:rPr>
              <w:t>Fizički deo</w:t>
            </w:r>
          </w:p>
        </w:tc>
        <w:tc>
          <w:tcPr>
            <w:tcW w:type="dxa" w:w="5083"/>
            <w:vAlign w:val="center"/>
          </w:tcPr>
          <w:p>
            <w:r>
              <w:rPr>
                <w:sz w:val="18"/>
              </w:rPr>
              <w:t>20–26.05.2027</w:t>
            </w:r>
          </w:p>
        </w:tc>
      </w:tr>
      <w:tr>
        <w:tc>
          <w:tcPr>
            <w:tcW w:type="dxa" w:w="5083"/>
            <w:vAlign w:val="center"/>
          </w:tcPr>
          <w:p>
            <w:r>
              <w:rPr>
                <w:sz w:val="18"/>
              </w:rPr>
              <w:t>ECTS</w:t>
            </w:r>
          </w:p>
        </w:tc>
        <w:tc>
          <w:tcPr>
            <w:tcW w:type="dxa" w:w="5083"/>
            <w:vAlign w:val="center"/>
          </w:tcPr>
          <w:p>
            <w:r>
              <w:rPr>
                <w:sz w:val="18"/>
              </w:rPr>
              <w:t>3 ECTS</w:t>
            </w:r>
          </w:p>
        </w:tc>
      </w:tr>
    </w:tbl>
    <w:p>
      <w:pPr>
        <w:spacing w:after="80"/>
      </w:pPr>
    </w:p>
    <w:p>
      <w:pPr>
        <w:spacing w:after="80"/>
        <w:jc w:val="center"/>
      </w:pPr>
      <w:r>
        <w:rPr>
          <w:b/>
          <w:color w:val="B40000"/>
        </w:rPr>
        <w:t>OBRISATI CELU OVU STRANICU PRE ZVANIČNE UPOTREBE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979" w:right="1037" w:bottom="936" w:left="1037" w:header="173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color w:val="6E6E6E"/>
        <w:sz w:val="16"/>
      </w:rPr>
      <w:t>Melius Academy | Erasmus+ Higher Education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jc w:val="center"/>
    </w:pPr>
    <w:r>
      <w:drawing>
        <wp:inline xmlns:a="http://schemas.openxmlformats.org/drawingml/2006/main" xmlns:pic="http://schemas.openxmlformats.org/drawingml/2006/picture">
          <wp:extent cx="6537960" cy="745327"/>
          <wp:docPr id="1" name="Picture 1"/>
          <wp:cNvGraphicFramePr>
            <a:graphicFrameLocks noChangeAspect="1"/>
          </wp:cNvGraphicFramePr>
          <a:graphic>
            <a:graphicData uri="http://schemas.openxmlformats.org/drawingml/2006/picture">
              <pic:pic>
                <pic:nvPicPr>
                  <pic:cNvPr id="0" name="Melius_Erasmus_Header_FINAL.png"/>
                  <pic:cNvPicPr/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6537960" cy="745327"/>
                  </a:xfrm>
                  <a:prstGeom prst="rect"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80"/>
    </w:pPr>
    <w:rPr>
      <w:rFonts w:ascii="Aptos" w:hAnsi="Aptos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ptos Display" w:hAnsi="Aptos Display"/>
      <w:b/>
      <w:bCs/>
      <w:color w:val="122B38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ptos Display" w:hAnsi="Aptos Display"/>
      <w:b/>
      <w:bCs/>
      <w:color w:val="122B38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ptos Display" w:hAnsi="Aptos Display"/>
      <w:b/>
      <w:bCs/>
      <w:color w:val="122B3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Aptos Display" w:hAnsi="Aptos Display"/>
      <w:color w:val="122B38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Article">
    <w:name w:val="Article"/>
    <w:rPr>
      <w:rFonts w:ascii="Aptos" w:hAnsi="Aptos"/>
      <w:b/>
      <w:color w:val="122B38"/>
      <w:sz w:val="21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_rels/header1.xml.rels><?xml version='1.0' encoding='UTF-8' standalone='yes'?>
<Relationships xmlns="http://schemas.openxmlformats.org/package/2006/relationships"><Relationship Id="rId3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