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color w:val="5A5A5A"/>
          <w:sz w:val="18"/>
        </w:rPr>
      </w:r>
    </w:p>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ACADEMIC RECOGNITION OF ERASMUS+ MOBILITY</w:t>
      </w:r>
    </w:p>
    <w:p>
      <w:pPr>
        <w:spacing w:after="80"/>
        <w:jc w:val="center"/>
      </w:pPr>
      <w:r>
        <w:rPr>
          <w:i/>
          <w:sz w:val="22"/>
        </w:rPr>
        <w:t>Studies, traineeships and BIP</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I. PRINCIPLE OF FULL AND AUTOMATIC RECOGNITION</w:t>
      </w:r>
    </w:p>
    <w:p>
      <w:pPr>
        <w:spacing w:after="80"/>
      </w:pPr>
      <w:r>
        <w:t>Melius Academy defines academic recognition before the mobility in the Learning Agreement. Successfully completed educational components that were approved in the LA are recognised without requiring the student to repeat the same content or complete additional academic work solely for recognition purposes.</w:t>
      </w:r>
    </w:p>
    <w:p>
      <w:pPr>
        <w:pStyle w:val="Heading1"/>
        <w:spacing w:after="80"/>
      </w:pPr>
      <w:r>
        <w:t>II. BEFORE MOBILITY</w:t>
      </w:r>
    </w:p>
    <w:p>
      <w:pPr>
        <w:pStyle w:val="Heading2"/>
        <w:spacing w:after="80"/>
      </w:pPr>
      <w:r>
        <w:t>Prior approval</w:t>
      </w:r>
    </w:p>
    <w:p>
      <w:pPr>
        <w:spacing w:after="80"/>
      </w:pPr>
      <w:r>
        <w:rPr>
          <w:b/>
        </w:rPr>
        <w:t xml:space="preserve">Step 1. </w:t>
      </w:r>
      <w:r>
        <w:t>The student proposes the mobility programme.</w:t>
      </w:r>
    </w:p>
    <w:p>
      <w:pPr>
        <w:spacing w:after="80"/>
      </w:pPr>
      <w:r>
        <w:rPr>
          <w:b/>
        </w:rPr>
        <w:t xml:space="preserve">Step 2. </w:t>
      </w:r>
      <w:r>
        <w:t>The department compares content, learning outcomes, workload and ECTS with the Melius Academy curriculum.</w:t>
      </w:r>
    </w:p>
    <w:p>
      <w:pPr>
        <w:spacing w:after="80"/>
      </w:pPr>
      <w:r>
        <w:rPr>
          <w:b/>
        </w:rPr>
        <w:t xml:space="preserve">Step 3. </w:t>
      </w:r>
      <w:r>
        <w:t>For each component, the recognition method is defined: equivalent course, elective course, module, traineeship, BIP credit or another academically justified element.</w:t>
      </w:r>
    </w:p>
    <w:p>
      <w:pPr>
        <w:spacing w:after="80"/>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spacing w:after="80"/>
      </w:pPr>
      <w:r>
        <w:rPr>
          <w:b/>
        </w:rPr>
        <w:t xml:space="preserve">Step 5. </w:t>
      </w:r>
      <w:r>
        <w:t>For BIPs, at least 3 ECTS are recognised upon successful completion.</w:t>
      </w:r>
    </w:p>
    <w:p>
      <w:pPr>
        <w:spacing w:after="80"/>
      </w:pPr>
      <w:r>
        <w:rPr>
          <w:b/>
        </w:rPr>
        <w:t xml:space="preserve">Step 6. </w:t>
      </w:r>
      <w:r>
        <w:t>The Learning Agreement is approved by all required parties.</w:t>
      </w:r>
    </w:p>
    <w:p>
      <w:pPr>
        <w:pStyle w:val="Heading1"/>
        <w:spacing w:after="80"/>
      </w:pPr>
      <w:r>
        <w:t>III. DURING MOBILITY</w:t>
      </w:r>
    </w:p>
    <w:p>
      <w:pPr>
        <w:spacing w:after="80"/>
      </w:pPr>
      <w:r>
        <w:t>Any change affecting recognition must be submitted for academic approval before it is treated as final. Melius Academy records the revised recognition arrangement together with the approved LA amendment.</w:t>
      </w:r>
    </w:p>
    <w:p>
      <w:pPr>
        <w:pStyle w:val="Heading1"/>
        <w:spacing w:after="80"/>
      </w:pPr>
      <w:r>
        <w:t>IV. AFTER MOBILITY</w:t>
      </w:r>
    </w:p>
    <w:p>
      <w:pPr>
        <w:pStyle w:val="Heading2"/>
        <w:spacing w:after="80"/>
      </w:pPr>
      <w:r>
        <w:t>Recognition procedure</w:t>
      </w:r>
    </w:p>
    <w:p>
      <w:pPr>
        <w:spacing w:after="80"/>
      </w:pPr>
      <w:r>
        <w:rPr>
          <w:b/>
        </w:rPr>
        <w:t xml:space="preserve">Step 1. </w:t>
      </w:r>
      <w:r>
        <w:t>The student submits the final Learning Agreement and the Transcript of Records or Traineeship Certificate.</w:t>
      </w:r>
    </w:p>
    <w:p>
      <w:pPr>
        <w:spacing w:after="80"/>
      </w:pPr>
      <w:r>
        <w:rPr>
          <w:b/>
        </w:rPr>
        <w:t xml:space="preserve">Step 2. </w:t>
      </w:r>
      <w:r>
        <w:t>The Erasmus Coordinator checks formal consistency between the agreed programme and final results.</w:t>
      </w:r>
    </w:p>
    <w:p>
      <w:pPr>
        <w:spacing w:after="80"/>
      </w:pPr>
      <w:r>
        <w:rPr>
          <w:b/>
        </w:rPr>
        <w:t xml:space="preserve">Step 3. </w:t>
      </w:r>
      <w:r>
        <w:t>The department confirms which components were successfully completed.</w:t>
      </w:r>
    </w:p>
    <w:p>
      <w:pPr>
        <w:spacing w:after="80"/>
      </w:pPr>
      <w:r>
        <w:rPr>
          <w:b/>
        </w:rPr>
        <w:t xml:space="preserve">Step 4. </w:t>
      </w:r>
      <w:r>
        <w:t>Recognition is performed according to the pre-approved mapping without retrospectively increasing requirements.</w:t>
      </w:r>
    </w:p>
    <w:p>
      <w:pPr>
        <w:spacing w:after="80"/>
      </w:pPr>
      <w:r>
        <w:rPr>
          <w:b/>
        </w:rPr>
        <w:t xml:space="preserve">Step 5. </w:t>
      </w:r>
      <w:r>
        <w:t>Grades are converted using a transparent institutional methodology and the partner's grading information where needed.</w:t>
      </w:r>
    </w:p>
    <w:p>
      <w:pPr>
        <w:spacing w:after="80"/>
      </w:pPr>
      <w:r>
        <w:rPr>
          <w:b/>
        </w:rPr>
        <w:t xml:space="preserve">Step 6. </w:t>
      </w:r>
      <w:r>
        <w:t>Student Administration records the recognised courses, grades and ECTS and includes them in the Diploma Supplement where applicable.</w:t>
      </w:r>
    </w:p>
    <w:p>
      <w:pPr>
        <w:pStyle w:val="Heading1"/>
        <w:spacing w:after="80"/>
      </w:pPr>
      <w:r>
        <w:t>V. SPECIAL CASES</w:t>
      </w:r>
    </w:p>
    <w:p>
      <w:pPr>
        <w:spacing w:after="80"/>
      </w:pPr>
      <w:r>
        <w:t>If one component is failed, all other successfully completed components are still recognised. If there is no direct one-to-one course equivalence, block/package recognition or elective recognition may be used when academically justified and agreed in advance.</w:t>
      </w:r>
    </w:p>
    <w:p>
      <w:pPr>
        <w:pStyle w:val="Heading1"/>
        <w:spacing w:after="80"/>
      </w:pPr>
      <w:r>
        <w:t>VI. DOCUMENTS</w:t>
      </w:r>
    </w:p>
    <w:p>
      <w:pPr>
        <w:pStyle w:val="ListBullet"/>
        <w:spacing w:after="80"/>
      </w:pPr>
      <w:r>
        <w:t>final Learning Agreement</w:t>
      </w:r>
    </w:p>
    <w:p>
      <w:pPr>
        <w:pStyle w:val="ListBullet"/>
        <w:spacing w:after="80"/>
      </w:pPr>
      <w:r>
        <w:t>Transcript of Records or Traineeship Certificate</w:t>
      </w:r>
    </w:p>
    <w:p>
      <w:pPr>
        <w:pStyle w:val="ListBullet"/>
        <w:spacing w:after="80"/>
      </w:pPr>
      <w:r>
        <w:t>Confirmation of Stay where required</w:t>
      </w:r>
    </w:p>
    <w:p>
      <w:pPr>
        <w:pStyle w:val="ListBullet"/>
        <w:spacing w:after="80"/>
      </w:pPr>
      <w:r>
        <w:t>grading information where needed</w:t>
      </w:r>
    </w:p>
    <w:p>
      <w:pPr>
        <w:pStyle w:val="ListBullet"/>
        <w:spacing w:after="80"/>
      </w:pPr>
      <w:r>
        <w:t>Recognition Request OB-ER-12</w:t>
      </w:r>
    </w:p>
    <w:p>
      <w:pPr>
        <w:pStyle w:val="ListBullet"/>
        <w:spacing w:after="80"/>
      </w:pPr>
      <w:r>
        <w:t>institutional recognition record</w:t>
      </w:r>
    </w:p>
    <w:p>
      <w:pPr>
        <w:spacing w:after="80"/>
      </w:pPr>
      <w:r>
        <w:br w:type="page"/>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pStyle w:val="Heading1"/>
      </w:pPr>
      <w:r>
        <w:t>ECTS recognition of traineeships</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Partner course</w:t>
            </w:r>
          </w:p>
        </w:tc>
        <w:tc>
          <w:tcPr>
            <w:tcW w:type="dxa" w:w="5083"/>
            <w:vAlign w:val="center"/>
          </w:tcPr>
          <w:p>
            <w:r>
              <w:rPr>
                <w:sz w:val="18"/>
              </w:rPr>
              <w:t>Digital Marketing – 6 ECTS</w:t>
            </w:r>
          </w:p>
        </w:tc>
      </w:tr>
      <w:tr>
        <w:tc>
          <w:tcPr>
            <w:tcW w:type="dxa" w:w="5083"/>
            <w:vAlign w:val="center"/>
          </w:tcPr>
          <w:p>
            <w:r>
              <w:rPr>
                <w:sz w:val="18"/>
              </w:rPr>
              <w:t>Recognition</w:t>
            </w:r>
          </w:p>
        </w:tc>
        <w:tc>
          <w:tcPr>
            <w:tcW w:type="dxa" w:w="5083"/>
            <w:vAlign w:val="center"/>
          </w:tcPr>
          <w:p>
            <w:r>
              <w:rPr>
                <w:sz w:val="18"/>
              </w:rPr>
              <w:t>Melius Academy elective – 6 ECTS</w:t>
            </w:r>
          </w:p>
        </w:tc>
      </w:tr>
      <w:tr>
        <w:tc>
          <w:tcPr>
            <w:tcW w:type="dxa" w:w="5083"/>
            <w:vAlign w:val="center"/>
          </w:tcPr>
          <w:p>
            <w:r>
              <w:rPr>
                <w:sz w:val="18"/>
              </w:rPr>
              <w:t>Basis</w:t>
            </w:r>
          </w:p>
        </w:tc>
        <w:tc>
          <w:tcPr>
            <w:tcW w:type="dxa" w:w="5083"/>
            <w:vAlign w:val="center"/>
          </w:tcPr>
          <w:p>
            <w:r>
              <w:rPr>
                <w:sz w:val="18"/>
              </w:rPr>
              <w:t>Learning Agreement + Transcript of Records</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