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AKADEMSKO PRIZNAVANJE ERASMUS+ MOBILNOSTI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i/>
          <w:sz w:val="22"/>
        </w:rPr>
        <w:t>Studiranje, praksa i BIP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PRINCIPI</w:t>
      </w:r>
    </w:p>
    <w:p>
      <w:pPr>
        <w:pStyle w:val="Article"/>
        <w:spacing w:after="80"/>
      </w:pPr>
      <w:r>
        <w:t>Član 1. – Potpuno i automatsko priznavanje</w:t>
      </w:r>
    </w:p>
    <w:p>
      <w:pPr>
        <w:spacing w:after="80"/>
      </w:pPr>
      <w:r>
        <w:t>Melius Academy unapred definiše akademsko priznavanje kroz Learning Agreement. Uspešno završene komponente navedene u odobrenom Learning Agreement-u priznaju se potpuno i bez zahteva da student ponovo polaže sadržaj ili izvršava dodatni akademski rad samo radi priznavanja.</w:t>
      </w:r>
    </w:p>
    <w:p>
      <w:pPr>
        <w:pStyle w:val="Article"/>
        <w:spacing w:after="80"/>
      </w:pPr>
      <w:r>
        <w:t>Član 2. – Osnovni dokumenti</w:t>
      </w:r>
    </w:p>
    <w:p>
      <w:pPr>
        <w:pStyle w:val="ListBullet"/>
        <w:spacing w:after="80"/>
      </w:pPr>
      <w:r>
        <w:t>finalni Learning Agreement</w:t>
      </w:r>
    </w:p>
    <w:p>
      <w:pPr>
        <w:pStyle w:val="ListBullet"/>
        <w:spacing w:after="80"/>
      </w:pPr>
      <w:r>
        <w:t>Transcript of Records za studiranje/BIP</w:t>
      </w:r>
    </w:p>
    <w:p>
      <w:pPr>
        <w:pStyle w:val="ListBullet"/>
        <w:spacing w:after="80"/>
      </w:pPr>
      <w:r>
        <w:t>Traineeship Certificate za praksu</w:t>
      </w:r>
    </w:p>
    <w:p>
      <w:pPr>
        <w:pStyle w:val="ListBullet"/>
        <w:spacing w:after="80"/>
      </w:pPr>
      <w:r>
        <w:t>dokaz o periodu mobilnosti kada je potreban</w:t>
      </w:r>
    </w:p>
    <w:p>
      <w:pPr>
        <w:pStyle w:val="ListBullet"/>
        <w:spacing w:after="80"/>
      </w:pPr>
      <w:r>
        <w:t>dodatno objašnjenje sistema ocenjivanja partnera kada je potrebno za transparentnu konverziju</w:t>
      </w:r>
    </w:p>
    <w:p>
      <w:pPr>
        <w:pStyle w:val="Heading1"/>
        <w:spacing w:after="80"/>
      </w:pPr>
      <w:r>
        <w:t>II. PRE MOBILNOSTI</w:t>
      </w:r>
    </w:p>
    <w:p>
      <w:pPr>
        <w:pStyle w:val="Heading3"/>
        <w:spacing w:after="80"/>
      </w:pPr>
      <w:r>
        <w:t>Prethodno odobravanje</w:t>
      </w:r>
    </w:p>
    <w:p>
      <w:pPr>
        <w:spacing w:after="80"/>
      </w:pPr>
      <w:r>
        <w:rPr>
          <w:b/>
        </w:rPr>
        <w:t xml:space="preserve">Korak 1. </w:t>
      </w:r>
      <w:r>
        <w:t>Student predlaže plan mobilnosti.</w:t>
      </w:r>
    </w:p>
    <w:p>
      <w:pPr>
        <w:spacing w:after="80"/>
      </w:pPr>
      <w:r>
        <w:rPr>
          <w:b/>
        </w:rPr>
        <w:t xml:space="preserve">Korak 2. </w:t>
      </w:r>
      <w:r>
        <w:t>Odsek analizira sadržaj, ishode i ECTS.</w:t>
      </w:r>
    </w:p>
    <w:p>
      <w:pPr>
        <w:spacing w:after="80"/>
      </w:pPr>
      <w:r>
        <w:rPr>
          <w:b/>
        </w:rPr>
        <w:t xml:space="preserve">Korak 3. </w:t>
      </w:r>
      <w:r>
        <w:t>Za svaki predmet/komponentu definiše se način priznavanja: ekvivalentan predmet, izborni predmet, modul, praksa ili drugi dozvoljeni element studijskog programa.</w:t>
      </w:r>
    </w:p>
    <w:p>
      <w:pPr>
        <w:spacing w:after="80"/>
      </w:pPr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spacing w:after="80"/>
      </w:pPr>
      <w:r>
        <w:rPr>
          <w:b/>
        </w:rPr>
        <w:t xml:space="preserve">Korak 5. </w:t>
      </w:r>
      <w:r>
        <w:t>Kod BIP-a se unapred priznaje najmanje 3 ECTS/ESPB.</w:t>
      </w:r>
    </w:p>
    <w:p>
      <w:pPr>
        <w:spacing w:after="80"/>
      </w:pPr>
      <w:r>
        <w:rPr>
          <w:b/>
        </w:rPr>
        <w:t xml:space="preserve">Korak 6. </w:t>
      </w:r>
      <w:r>
        <w:t>Learning Agreement se odobrava pre početka mobilnosti ili u rokovima dopuštenim programskim pravilima.</w:t>
      </w:r>
    </w:p>
    <w:p>
      <w:pPr>
        <w:pStyle w:val="Heading1"/>
        <w:spacing w:after="80"/>
      </w:pPr>
      <w:r>
        <w:t>III. TOKOM MOBILNOSTI</w:t>
      </w:r>
    </w:p>
    <w:p>
      <w:pPr>
        <w:pStyle w:val="Heading3"/>
        <w:spacing w:after="80"/>
      </w:pPr>
      <w:r>
        <w:t>Izmene</w:t>
      </w:r>
    </w:p>
    <w:p>
      <w:pPr>
        <w:spacing w:after="80"/>
      </w:pPr>
      <w:r>
        <w:rPr>
          <w:b/>
        </w:rPr>
        <w:t xml:space="preserve">Korak 1. </w:t>
      </w:r>
      <w:r>
        <w:t>Student prijavljuje svaku promenu predmeta ili programa.</w:t>
      </w:r>
    </w:p>
    <w:p>
      <w:pPr>
        <w:spacing w:after="80"/>
      </w:pPr>
      <w:r>
        <w:rPr>
          <w:b/>
        </w:rPr>
        <w:t xml:space="preserve">Korak 2. </w:t>
      </w:r>
      <w:r>
        <w:t>Odsek proverava novi akademski sadržaj.</w:t>
      </w:r>
    </w:p>
    <w:p>
      <w:pPr>
        <w:spacing w:after="80"/>
      </w:pPr>
      <w:r>
        <w:rPr>
          <w:b/>
        </w:rPr>
        <w:t xml:space="preserve">Korak 3. </w:t>
      </w:r>
      <w:r>
        <w:t>Priznavanje zamenskih komponenti definiše se pre konačnog odobrenja izmene.</w:t>
      </w:r>
    </w:p>
    <w:p>
      <w:pPr>
        <w:spacing w:after="80"/>
      </w:pPr>
      <w:r>
        <w:rPr>
          <w:b/>
        </w:rPr>
        <w:t xml:space="preserve">Korak 4. </w:t>
      </w:r>
      <w:r>
        <w:t>Sve strane odobravaju finalnu izmenu Learning Agreement-a.</w:t>
      </w:r>
    </w:p>
    <w:p>
      <w:pPr>
        <w:pStyle w:val="Heading1"/>
        <w:spacing w:after="80"/>
      </w:pPr>
      <w:r>
        <w:t>IV. NAKON MOBILNOSTI</w:t>
      </w:r>
    </w:p>
    <w:p>
      <w:pPr>
        <w:pStyle w:val="Heading3"/>
        <w:spacing w:after="80"/>
      </w:pPr>
      <w:r>
        <w:t>Priznavanje</w:t>
      </w:r>
    </w:p>
    <w:p>
      <w:pPr>
        <w:spacing w:after="80"/>
      </w:pPr>
      <w:r>
        <w:rPr>
          <w:b/>
        </w:rPr>
        <w:t xml:space="preserve">Korak 1. </w:t>
      </w:r>
      <w:r>
        <w:t>Student dostavlja završne akademske dokumente.</w:t>
      </w:r>
    </w:p>
    <w:p>
      <w:pPr>
        <w:spacing w:after="80"/>
      </w:pPr>
      <w:r>
        <w:rPr>
          <w:b/>
        </w:rPr>
        <w:t xml:space="preserve">Korak 2. </w:t>
      </w:r>
      <w:r>
        <w:t>Erasmus koordinator proverava formalnu usklađenost sa LA.</w:t>
      </w:r>
    </w:p>
    <w:p>
      <w:pPr>
        <w:spacing w:after="80"/>
      </w:pPr>
      <w:r>
        <w:rPr>
          <w:b/>
        </w:rPr>
        <w:t xml:space="preserve">Korak 3. </w:t>
      </w:r>
      <w:r>
        <w:t>Odsek proverava da li su komponente uspešno završene.</w:t>
      </w:r>
    </w:p>
    <w:p>
      <w:pPr>
        <w:spacing w:after="80"/>
      </w:pPr>
      <w:r>
        <w:rPr>
          <w:b/>
        </w:rPr>
        <w:t xml:space="preserve">Korak 4. </w:t>
      </w:r>
      <w:r>
        <w:t>Priznavanje se vrši prema prethodno odobrenoj matrici, bez naknadnog pooštravanja uslova.</w:t>
      </w:r>
    </w:p>
    <w:p>
      <w:pPr>
        <w:spacing w:after="80"/>
      </w:pPr>
      <w:r>
        <w:rPr>
          <w:b/>
        </w:rPr>
        <w:t xml:space="preserve">Korak 5. </w:t>
      </w:r>
      <w:r>
        <w:t>Ocene se konvertuju prema transparentnoj institucionalnoj metodologiji i dostupnim informacijama o distribuciji/sistemu ocenjivanja partnera.</w:t>
      </w:r>
    </w:p>
    <w:p>
      <w:pPr>
        <w:spacing w:after="80"/>
      </w:pPr>
      <w:r>
        <w:rPr>
          <w:b/>
        </w:rPr>
        <w:t xml:space="preserve">Korak 6. </w:t>
      </w:r>
      <w:r>
        <w:t>Studentska služba evidentira priznate predmete, ocene i ESPB.</w:t>
      </w:r>
    </w:p>
    <w:p>
      <w:pPr>
        <w:spacing w:after="80"/>
      </w:pPr>
      <w:r>
        <w:rPr>
          <w:b/>
        </w:rPr>
        <w:t xml:space="preserve">Korak 7. </w:t>
      </w:r>
      <w:r>
        <w:t>Rezultati se, kada je primenljivo, uključuju u Diploma Supplement.</w:t>
      </w:r>
    </w:p>
    <w:p>
      <w:pPr>
        <w:pStyle w:val="Heading1"/>
        <w:spacing w:after="80"/>
      </w:pPr>
      <w:r>
        <w:t>V. POSEBNE SITUACIJE</w:t>
      </w:r>
    </w:p>
    <w:p>
      <w:pPr>
        <w:pStyle w:val="Article"/>
        <w:spacing w:after="80"/>
      </w:pPr>
      <w:r>
        <w:t>Član 3. – Delimično neuspešna mobilnost</w:t>
      </w:r>
    </w:p>
    <w:p>
      <w:pPr>
        <w:spacing w:after="80"/>
      </w:pPr>
      <w:r>
        <w:t>Ako student ne položi jednu ili više komponenti, priznaju se sve uspešno završene komponente. Za neuspešne komponente student nastavlja obaveze prema pravilima svog studijskog programa.</w:t>
      </w:r>
    </w:p>
    <w:p>
      <w:pPr>
        <w:pStyle w:val="Article"/>
        <w:spacing w:after="80"/>
      </w:pPr>
      <w:r>
        <w:t>Član 4. – Nema direktnog ekvivalenta</w:t>
      </w:r>
    </w:p>
    <w:p>
      <w:pPr>
        <w:spacing w:after="80"/>
      </w:pPr>
      <w:r>
        <w:t>Kada nema direktne predmetne ekvivalencije, može se primeniti paketno priznavanje ishoda i ECTS, izborni predmet ili druga akademski opravdana forma, pod uslovom da je takav način unapred odobren.</w:t>
      </w:r>
    </w:p>
    <w:p>
      <w:pPr>
        <w:pStyle w:val="Article"/>
        <w:spacing w:after="80"/>
      </w:pPr>
      <w:r>
        <w:t>Član 5. – Rok postupanja</w:t>
      </w:r>
    </w:p>
    <w:p>
      <w:pPr>
        <w:spacing w:after="80"/>
      </w:pPr>
      <w:r>
        <w:t>Priznavanje se sprovodi bez nepotrebnog odlaganja nakon prijema potpune završne dokumentacije.</w:t>
      </w:r>
    </w:p>
    <w:p>
      <w:pPr>
        <w:pStyle w:val="Heading1"/>
        <w:spacing w:after="80"/>
      </w:pPr>
      <w:r>
        <w:t>VI. MATRICA PRIZNAVANJA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Mobilnost</w:t>
            </w:r>
          </w:p>
        </w:tc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Glavni završni dokument</w:t>
            </w:r>
          </w:p>
        </w:tc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Način priznanja</w:t>
            </w:r>
          </w:p>
        </w:tc>
      </w:tr>
      <w:tr>
        <w:tc>
          <w:tcPr>
            <w:tcW w:type="dxa" w:w="3389"/>
            <w:vAlign w:val="center"/>
          </w:tcPr>
          <w:p>
            <w:r>
              <w:t>Studies</w:t>
            </w:r>
          </w:p>
        </w:tc>
        <w:tc>
          <w:tcPr>
            <w:tcW w:type="dxa" w:w="3389"/>
            <w:vAlign w:val="center"/>
          </w:tcPr>
          <w:p>
            <w:r>
              <w:t>Transcript of Records</w:t>
            </w:r>
          </w:p>
        </w:tc>
        <w:tc>
          <w:tcPr>
            <w:tcW w:type="dxa" w:w="3389"/>
            <w:vAlign w:val="center"/>
          </w:tcPr>
          <w:p>
            <w:r>
              <w:t>predmeti/ECTS/ocene prema LA</w:t>
            </w:r>
          </w:p>
        </w:tc>
      </w:tr>
      <w:tr>
        <w:tc>
          <w:tcPr>
            <w:tcW w:type="dxa" w:w="3389"/>
            <w:vAlign w:val="center"/>
          </w:tcPr>
          <w:p>
            <w:r>
              <w:t>Traineeship</w:t>
            </w:r>
          </w:p>
        </w:tc>
        <w:tc>
          <w:tcPr>
            <w:tcW w:type="dxa" w:w="3389"/>
            <w:vAlign w:val="center"/>
          </w:tcPr>
          <w:p>
            <w:r>
              <w:t>Traineeship Certificate</w:t>
            </w:r>
          </w:p>
        </w:tc>
        <w:tc>
          <w:tcPr>
            <w:tcW w:type="dxa" w:w="3389"/>
            <w:vAlign w:val="center"/>
          </w:tcPr>
          <w:p>
            <w:r>
              <w:t>praksa + najmanje 3 ESPB kao Melius Academy standard</w:t>
            </w:r>
          </w:p>
        </w:tc>
      </w:tr>
      <w:tr>
        <w:tc>
          <w:tcPr>
            <w:tcW w:type="dxa" w:w="3389"/>
            <w:vAlign w:val="center"/>
          </w:tcPr>
          <w:p>
            <w:r>
              <w:t>BIP</w:t>
            </w:r>
          </w:p>
        </w:tc>
        <w:tc>
          <w:tcPr>
            <w:tcW w:type="dxa" w:w="3389"/>
            <w:vAlign w:val="center"/>
          </w:tcPr>
          <w:p>
            <w:r>
              <w:t>Transcript/Certificate</w:t>
            </w:r>
          </w:p>
        </w:tc>
        <w:tc>
          <w:tcPr>
            <w:tcW w:type="dxa" w:w="3389"/>
            <w:vAlign w:val="center"/>
          </w:tcPr>
          <w:p>
            <w:r>
              <w:t>najmanje 3 ECTS/ESPB</w:t>
            </w:r>
          </w:p>
        </w:tc>
      </w:tr>
      <w:tr>
        <w:tc>
          <w:tcPr>
            <w:tcW w:type="dxa" w:w="3389"/>
            <w:vAlign w:val="center"/>
          </w:tcPr>
          <w:p>
            <w:r>
              <w:t>Blended studies</w:t>
            </w:r>
          </w:p>
        </w:tc>
        <w:tc>
          <w:tcPr>
            <w:tcW w:type="dxa" w:w="3389"/>
            <w:vAlign w:val="center"/>
          </w:tcPr>
          <w:p>
            <w:r>
              <w:t>Transcript/Certificate</w:t>
            </w:r>
          </w:p>
        </w:tc>
        <w:tc>
          <w:tcPr>
            <w:tcW w:type="dxa" w:w="3389"/>
            <w:vAlign w:val="center"/>
          </w:tcPr>
          <w:p>
            <w:r>
              <w:t>najmanje 3 ECTS za short-term blended studies</w:t>
            </w:r>
          </w:p>
        </w:tc>
      </w:tr>
    </w:tbl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ESPB/ECTS priznavanje stručne prakse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Predmet kod partnera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Digital Marketing – 6 ECTS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Priznavanje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Izborni predmet na Melius Academy – 6 ESPB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Osnov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+ Transcript of Records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