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t>Melius Academy, Belgrade</w:t>
      </w:r>
    </w:p>
    <w:p>
      <w:pPr>
        <w:jc w:val="center"/>
      </w:pPr>
      <w:r>
        <w:rPr>
          <w:b/>
          <w:color w:val="501214"/>
        </w:rPr>
        <w:t>Visoka škola akademskih studija „Melius Academy“ – Beograd</w:t>
      </w:r>
    </w:p>
    <w:p>
      <w:pPr>
        <w:spacing w:before="1800" w:after="80"/>
        <w:jc w:val="center"/>
      </w:pPr>
      <w:r>
        <w:rPr>
          <w:b/>
          <w:color w:val="122B38"/>
          <w:sz w:val="42"/>
        </w:rPr>
        <w:t>CALLS, SELECTION AND APPEALS</w:t>
      </w:r>
    </w:p>
    <w:p>
      <w:pPr>
        <w:spacing w:after="80"/>
        <w:jc w:val="center"/>
      </w:pPr>
      <w:r>
        <w:rPr>
          <w:color w:val="5A5A5A"/>
          <w:sz w:val="18"/>
        </w:rPr>
      </w:r>
    </w:p>
    <w:p>
      <w:pPr>
        <w:spacing w:after="80"/>
        <w:jc w:val="center"/>
      </w:pPr>
      <w:r>
        <w:rPr>
          <w:i/>
          <w:sz w:val="22"/>
        </w:rPr>
        <w:t>KA131/KA171 – students and staff</w:t>
      </w:r>
    </w:p>
    <w:p>
      <w:pPr>
        <w:spacing w:after="80"/>
        <w:jc w:val="center"/>
      </w:pPr>
      <w:r>
        <w:rPr>
          <w:color w:val="646464"/>
          <w:sz w:val="20"/>
        </w:rPr>
        <w:t>Melius Academy | Erasmus+ Higher Education</w:t>
      </w:r>
    </w:p>
    <w:p>
      <w:pPr>
        <w:spacing w:after="80"/>
      </w:pPr>
      <w:r>
        <w:br w:type="page"/>
      </w:r>
    </w:p>
    <w:p>
      <w:pPr>
        <w:pStyle w:val="Heading1"/>
        <w:spacing w:after="80"/>
      </w:pPr>
      <w:r>
        <w:t>Legend of abbreviations</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Abbreviation</w:t>
            </w:r>
          </w:p>
        </w:tc>
        <w:tc>
          <w:tcPr>
            <w:tcW w:type="dxa" w:w="5083"/>
            <w:shd w:fill="E8F0F5"/>
          </w:tcPr>
          <w:p>
            <w:r>
              <w:rPr>
                <w:b/>
                <w:sz w:val="18"/>
              </w:rPr>
              <w:t>Meaning</w:t>
            </w:r>
          </w:p>
        </w:tc>
      </w:tr>
      <w:tr>
        <w:tc>
          <w:tcPr>
            <w:tcW w:type="dxa" w:w="5083"/>
            <w:vAlign w:val="center"/>
          </w:tcPr>
          <w:p>
            <w:r>
              <w:rPr>
                <w:sz w:val="18"/>
              </w:rPr>
              <w:t>SMS</w:t>
            </w:r>
          </w:p>
        </w:tc>
        <w:tc>
          <w:tcPr>
            <w:tcW w:type="dxa" w:w="5083"/>
            <w:vAlign w:val="center"/>
          </w:tcPr>
          <w:p>
            <w:r>
              <w:rPr>
                <w:sz w:val="18"/>
              </w:rPr>
              <w:t>Student Mobility for Studies</w:t>
            </w:r>
          </w:p>
        </w:tc>
      </w:tr>
      <w:tr>
        <w:tc>
          <w:tcPr>
            <w:tcW w:type="dxa" w:w="5083"/>
            <w:vAlign w:val="center"/>
          </w:tcPr>
          <w:p>
            <w:r>
              <w:rPr>
                <w:sz w:val="18"/>
              </w:rPr>
              <w:t>SMT</w:t>
            </w:r>
          </w:p>
        </w:tc>
        <w:tc>
          <w:tcPr>
            <w:tcW w:type="dxa" w:w="5083"/>
            <w:vAlign w:val="center"/>
          </w:tcPr>
          <w:p>
            <w:r>
              <w:rPr>
                <w:sz w:val="18"/>
              </w:rPr>
              <w:t>Student Mobility for Traineeships</w:t>
            </w:r>
          </w:p>
        </w:tc>
      </w:tr>
      <w:tr>
        <w:tc>
          <w:tcPr>
            <w:tcW w:type="dxa" w:w="5083"/>
            <w:vAlign w:val="center"/>
          </w:tcPr>
          <w:p>
            <w:r>
              <w:rPr>
                <w:sz w:val="18"/>
              </w:rPr>
              <w:t>STA</w:t>
            </w:r>
          </w:p>
        </w:tc>
        <w:tc>
          <w:tcPr>
            <w:tcW w:type="dxa" w:w="5083"/>
            <w:vAlign w:val="center"/>
          </w:tcPr>
          <w:p>
            <w:r>
              <w:rPr>
                <w:sz w:val="18"/>
              </w:rPr>
              <w:t>Staff Mobility for Teaching</w:t>
            </w:r>
          </w:p>
        </w:tc>
      </w:tr>
      <w:tr>
        <w:tc>
          <w:tcPr>
            <w:tcW w:type="dxa" w:w="5083"/>
            <w:vAlign w:val="center"/>
          </w:tcPr>
          <w:p>
            <w:r>
              <w:rPr>
                <w:sz w:val="18"/>
              </w:rPr>
              <w:t>STT</w:t>
            </w:r>
          </w:p>
        </w:tc>
        <w:tc>
          <w:tcPr>
            <w:tcW w:type="dxa" w:w="5083"/>
            <w:vAlign w:val="center"/>
          </w:tcPr>
          <w:p>
            <w:r>
              <w:rPr>
                <w:sz w:val="18"/>
              </w:rPr>
              <w:t>Staff Mobility for Training</w:t>
            </w:r>
          </w:p>
        </w:tc>
      </w:tr>
      <w:tr>
        <w:tc>
          <w:tcPr>
            <w:tcW w:type="dxa" w:w="5083"/>
            <w:vAlign w:val="center"/>
          </w:tcPr>
          <w:p>
            <w:r>
              <w:rPr>
                <w:sz w:val="18"/>
              </w:rPr>
              <w:t>BIP</w:t>
            </w:r>
          </w:p>
        </w:tc>
        <w:tc>
          <w:tcPr>
            <w:tcW w:type="dxa" w:w="5083"/>
            <w:vAlign w:val="center"/>
          </w:tcPr>
          <w:p>
            <w:r>
              <w:rPr>
                <w:sz w:val="18"/>
              </w:rPr>
              <w:t>Blended Intensive Programme</w:t>
            </w:r>
          </w:p>
        </w:tc>
      </w:tr>
      <w:tr>
        <w:tc>
          <w:tcPr>
            <w:tcW w:type="dxa" w:w="5083"/>
            <w:vAlign w:val="center"/>
          </w:tcPr>
          <w:p>
            <w:r>
              <w:rPr>
                <w:sz w:val="18"/>
              </w:rPr>
              <w:t>ECTS</w:t>
            </w:r>
          </w:p>
        </w:tc>
        <w:tc>
          <w:tcPr>
            <w:tcW w:type="dxa" w:w="5083"/>
            <w:vAlign w:val="center"/>
          </w:tcPr>
          <w:p>
            <w:r>
              <w:rPr>
                <w:sz w:val="18"/>
              </w:rPr>
              <w:t>European Credit Transfer and Accumulation System</w:t>
            </w:r>
          </w:p>
        </w:tc>
      </w:tr>
      <w:tr>
        <w:tc>
          <w:tcPr>
            <w:tcW w:type="dxa" w:w="5083"/>
            <w:vAlign w:val="center"/>
          </w:tcPr>
          <w:p>
            <w:r>
              <w:rPr>
                <w:sz w:val="18"/>
              </w:rPr>
              <w:t>LA</w:t>
            </w:r>
          </w:p>
        </w:tc>
        <w:tc>
          <w:tcPr>
            <w:tcW w:type="dxa" w:w="5083"/>
            <w:vAlign w:val="center"/>
          </w:tcPr>
          <w:p>
            <w:r>
              <w:rPr>
                <w:sz w:val="18"/>
              </w:rPr>
              <w:t>Learning Agreement</w:t>
            </w:r>
          </w:p>
        </w:tc>
      </w:tr>
      <w:tr>
        <w:tc>
          <w:tcPr>
            <w:tcW w:type="dxa" w:w="5083"/>
            <w:vAlign w:val="center"/>
          </w:tcPr>
          <w:p>
            <w:r>
              <w:rPr>
                <w:sz w:val="18"/>
              </w:rPr>
              <w:t>MA</w:t>
            </w:r>
          </w:p>
        </w:tc>
        <w:tc>
          <w:tcPr>
            <w:tcW w:type="dxa" w:w="5083"/>
            <w:vAlign w:val="center"/>
          </w:tcPr>
          <w:p>
            <w:r>
              <w:rPr>
                <w:sz w:val="18"/>
              </w:rPr>
              <w:t>Mobility Agreement</w:t>
            </w:r>
          </w:p>
        </w:tc>
      </w:tr>
      <w:tr>
        <w:tc>
          <w:tcPr>
            <w:tcW w:type="dxa" w:w="5083"/>
            <w:vAlign w:val="center"/>
          </w:tcPr>
          <w:p>
            <w:r>
              <w:rPr>
                <w:sz w:val="18"/>
              </w:rPr>
              <w:t>IIA</w:t>
            </w:r>
          </w:p>
        </w:tc>
        <w:tc>
          <w:tcPr>
            <w:tcW w:type="dxa" w:w="5083"/>
            <w:vAlign w:val="center"/>
          </w:tcPr>
          <w:p>
            <w:r>
              <w:rPr>
                <w:sz w:val="18"/>
              </w:rPr>
              <w:t>Inter-Institutional Agreement</w:t>
            </w:r>
          </w:p>
        </w:tc>
      </w:tr>
      <w:tr>
        <w:tc>
          <w:tcPr>
            <w:tcW w:type="dxa" w:w="5083"/>
            <w:vAlign w:val="center"/>
          </w:tcPr>
          <w:p>
            <w:r>
              <w:rPr>
                <w:sz w:val="18"/>
              </w:rPr>
              <w:t>HEI</w:t>
            </w:r>
          </w:p>
        </w:tc>
        <w:tc>
          <w:tcPr>
            <w:tcW w:type="dxa" w:w="5083"/>
            <w:vAlign w:val="center"/>
          </w:tcPr>
          <w:p>
            <w:r>
              <w:rPr>
                <w:sz w:val="18"/>
              </w:rPr>
              <w:t>Higher Education Institution</w:t>
            </w:r>
          </w:p>
        </w:tc>
      </w:tr>
      <w:tr>
        <w:tc>
          <w:tcPr>
            <w:tcW w:type="dxa" w:w="5083"/>
            <w:vAlign w:val="center"/>
          </w:tcPr>
          <w:p>
            <w:r>
              <w:rPr>
                <w:sz w:val="18"/>
              </w:rPr>
              <w:t>ECHE</w:t>
            </w:r>
          </w:p>
        </w:tc>
        <w:tc>
          <w:tcPr>
            <w:tcW w:type="dxa" w:w="5083"/>
            <w:vAlign w:val="center"/>
          </w:tcPr>
          <w:p>
            <w:r>
              <w:rPr>
                <w:sz w:val="18"/>
              </w:rPr>
              <w:t>Erasmus Charter for Higher Education</w:t>
            </w:r>
          </w:p>
        </w:tc>
      </w:tr>
      <w:tr>
        <w:tc>
          <w:tcPr>
            <w:tcW w:type="dxa" w:w="5083"/>
            <w:vAlign w:val="center"/>
          </w:tcPr>
          <w:p>
            <w:r>
              <w:rPr>
                <w:sz w:val="18"/>
              </w:rPr>
              <w:t>EWP</w:t>
            </w:r>
          </w:p>
        </w:tc>
        <w:tc>
          <w:tcPr>
            <w:tcW w:type="dxa" w:w="5083"/>
            <w:vAlign w:val="center"/>
          </w:tcPr>
          <w:p>
            <w:r>
              <w:rPr>
                <w:sz w:val="18"/>
              </w:rPr>
              <w:t>Erasmus Without Paper</w:t>
            </w:r>
          </w:p>
        </w:tc>
      </w:tr>
    </w:tbl>
    <w:p>
      <w:pPr>
        <w:spacing w:after="80"/>
      </w:pPr>
    </w:p>
    <w:p>
      <w:pPr>
        <w:pStyle w:val="Heading1"/>
        <w:spacing w:after="80"/>
      </w:pPr>
      <w:r>
        <w:t>I. BASIC RULE</w:t>
      </w:r>
    </w:p>
    <w:p>
      <w:pPr>
        <w:spacing w:after="80"/>
      </w:pPr>
      <w:r>
        <w:t>Selection criteria are not permanently fixed by this procedure. For each mobility opportunity, Melius Academy defines the eligibility requirements, criteria, weighting, supporting evidence and tie-breaking rules in the published call. The Selection Committee scores candidates only against those published criteria.</w:t>
      </w:r>
    </w:p>
    <w:p>
      <w:pPr>
        <w:pStyle w:val="Heading1"/>
        <w:spacing w:after="80"/>
      </w:pPr>
      <w:r>
        <w:t>II. PREPARATION OF A CALL</w:t>
      </w:r>
    </w:p>
    <w:p>
      <w:pPr>
        <w:pStyle w:val="Heading2"/>
        <w:spacing w:after="80"/>
      </w:pPr>
      <w:r>
        <w:t>Before publication</w:t>
      </w:r>
    </w:p>
    <w:p>
      <w:pPr>
        <w:spacing w:after="80"/>
      </w:pPr>
      <w:r>
        <w:rPr>
          <w:b/>
        </w:rPr>
        <w:t xml:space="preserve">Step 1. </w:t>
      </w:r>
      <w:r>
        <w:t>Verify the project, destination/partner, eligible activity, budget, quotas and partner deadlines.</w:t>
      </w:r>
    </w:p>
    <w:p>
      <w:pPr>
        <w:spacing w:after="80"/>
      </w:pPr>
      <w:r>
        <w:rPr>
          <w:b/>
        </w:rPr>
        <w:t xml:space="preserve">Step 2. </w:t>
      </w:r>
      <w:r>
        <w:t>Define the target group and minimum eligibility requirements.</w:t>
      </w:r>
    </w:p>
    <w:p>
      <w:pPr>
        <w:spacing w:after="80"/>
      </w:pPr>
      <w:r>
        <w:rPr>
          <w:b/>
        </w:rPr>
        <w:t xml:space="preserve">Step 3. </w:t>
      </w:r>
      <w:r>
        <w:t>Define the required application documents.</w:t>
      </w:r>
    </w:p>
    <w:p>
      <w:pPr>
        <w:spacing w:after="80"/>
      </w:pPr>
      <w:r>
        <w:rPr>
          <w:b/>
        </w:rPr>
        <w:t xml:space="preserve">Step 4. </w:t>
      </w:r>
      <w:r>
        <w:t>Define the selection criteria and maximum points for each criterion.</w:t>
      </w:r>
    </w:p>
    <w:p>
      <w:pPr>
        <w:spacing w:after="80"/>
      </w:pPr>
      <w:r>
        <w:rPr>
          <w:b/>
        </w:rPr>
        <w:t xml:space="preserve">Step 5. </w:t>
      </w:r>
      <w:r>
        <w:t>Define how ties will be resolved and whether specific Erasmus+/institutional priorities apply.</w:t>
      </w:r>
    </w:p>
    <w:p>
      <w:pPr>
        <w:spacing w:after="80"/>
      </w:pPr>
      <w:r>
        <w:rPr>
          <w:b/>
        </w:rPr>
        <w:t xml:space="preserve">Step 6. </w:t>
      </w:r>
      <w:r>
        <w:t>Define the application deadline and method.</w:t>
      </w:r>
    </w:p>
    <w:p>
      <w:pPr>
        <w:spacing w:after="80"/>
      </w:pPr>
      <w:r>
        <w:rPr>
          <w:b/>
        </w:rPr>
        <w:t xml:space="preserve">Step 7. </w:t>
      </w:r>
      <w:r>
        <w:t>Define the preliminary ranking, appeal deadline and final ranking procedure.</w:t>
      </w:r>
    </w:p>
    <w:p>
      <w:pPr>
        <w:spacing w:after="80"/>
      </w:pPr>
      <w:r>
        <w:rPr>
          <w:b/>
        </w:rPr>
        <w:t xml:space="preserve">Step 8. </w:t>
      </w:r>
      <w:r>
        <w:t>Appoint the Selection Committee and manage conflicts of interest.</w:t>
      </w:r>
    </w:p>
    <w:p>
      <w:pPr>
        <w:pStyle w:val="Heading1"/>
        <w:spacing w:after="80"/>
      </w:pPr>
      <w:r>
        <w:t>III. CONTENT OF THE CALL</w:t>
      </w:r>
    </w:p>
    <w:p>
      <w:pPr>
        <w:pStyle w:val="ListBullet"/>
        <w:spacing w:after="80"/>
      </w:pPr>
      <w:r>
        <w:t>Erasmus+ action/project and mobility type</w:t>
      </w:r>
    </w:p>
    <w:p>
      <w:pPr>
        <w:pStyle w:val="ListBullet"/>
        <w:spacing w:after="80"/>
      </w:pPr>
      <w:r>
        <w:t>destination/partner where known</w:t>
      </w:r>
    </w:p>
    <w:p>
      <w:pPr>
        <w:pStyle w:val="ListBullet"/>
        <w:spacing w:after="80"/>
      </w:pPr>
      <w:r>
        <w:t>eligible students/staff</w:t>
      </w:r>
    </w:p>
    <w:p>
      <w:pPr>
        <w:pStyle w:val="ListBullet"/>
        <w:spacing w:after="80"/>
      </w:pPr>
      <w:r>
        <w:t>mobility duration and period</w:t>
      </w:r>
    </w:p>
    <w:p>
      <w:pPr>
        <w:pStyle w:val="ListBullet"/>
        <w:spacing w:after="80"/>
      </w:pPr>
      <w:r>
        <w:t>minimum requirements</w:t>
      </w:r>
    </w:p>
    <w:p>
      <w:pPr>
        <w:pStyle w:val="ListBullet"/>
        <w:spacing w:after="80"/>
      </w:pPr>
      <w:r>
        <w:t>documents to submit</w:t>
      </w:r>
    </w:p>
    <w:p>
      <w:pPr>
        <w:pStyle w:val="ListBullet"/>
        <w:spacing w:after="80"/>
      </w:pPr>
      <w:r>
        <w:t>selection criteria and weighting</w:t>
      </w:r>
    </w:p>
    <w:p>
      <w:pPr>
        <w:pStyle w:val="ListBullet"/>
        <w:spacing w:after="80"/>
      </w:pPr>
      <w:r>
        <w:t>grant information and disclaimer that final funding depends on the Grant Agreement</w:t>
      </w:r>
    </w:p>
    <w:p>
      <w:pPr>
        <w:pStyle w:val="ListBullet"/>
        <w:spacing w:after="80"/>
      </w:pPr>
      <w:r>
        <w:t>application deadline and method</w:t>
      </w:r>
    </w:p>
    <w:p>
      <w:pPr>
        <w:pStyle w:val="ListBullet"/>
        <w:spacing w:after="80"/>
      </w:pPr>
      <w:r>
        <w:t>publication of results</w:t>
      </w:r>
    </w:p>
    <w:p>
      <w:pPr>
        <w:pStyle w:val="ListBullet"/>
        <w:spacing w:after="80"/>
      </w:pPr>
      <w:r>
        <w:t>appeal procedure and contact</w:t>
      </w:r>
    </w:p>
    <w:p>
      <w:pPr>
        <w:pStyle w:val="Heading1"/>
        <w:spacing w:after="80"/>
      </w:pPr>
      <w:r>
        <w:t>IV. ADMINISTRATIVE CHECK</w:t>
      </w:r>
    </w:p>
    <w:p>
      <w:pPr>
        <w:pStyle w:val="Heading2"/>
        <w:spacing w:after="80"/>
      </w:pPr>
      <w:r>
        <w:t>Eligibility check</w:t>
      </w:r>
    </w:p>
    <w:p>
      <w:pPr>
        <w:spacing w:after="80"/>
      </w:pPr>
      <w:r>
        <w:rPr>
          <w:b/>
        </w:rPr>
        <w:t xml:space="preserve">Step 1. </w:t>
      </w:r>
      <w:r>
        <w:t>Verify submission within the deadline.</w:t>
      </w:r>
    </w:p>
    <w:p>
      <w:pPr>
        <w:spacing w:after="80"/>
      </w:pPr>
      <w:r>
        <w:rPr>
          <w:b/>
        </w:rPr>
        <w:t xml:space="preserve">Step 2. </w:t>
      </w:r>
      <w:r>
        <w:t>Verify student/staff status and specific eligibility.</w:t>
      </w:r>
    </w:p>
    <w:p>
      <w:pPr>
        <w:spacing w:after="80"/>
      </w:pPr>
      <w:r>
        <w:rPr>
          <w:b/>
        </w:rPr>
        <w:t xml:space="preserve">Step 3. </w:t>
      </w:r>
      <w:r>
        <w:t>Verify completeness of mandatory documents.</w:t>
      </w:r>
    </w:p>
    <w:p>
      <w:pPr>
        <w:spacing w:after="80"/>
      </w:pPr>
      <w:r>
        <w:rPr>
          <w:b/>
        </w:rPr>
        <w:t xml:space="preserve">Step 4. </w:t>
      </w:r>
      <w:r>
        <w:t>For students, verify remaining Erasmus+ duration in the study cycle where relevant.</w:t>
      </w:r>
    </w:p>
    <w:p>
      <w:pPr>
        <w:spacing w:after="80"/>
      </w:pPr>
      <w:r>
        <w:rPr>
          <w:b/>
        </w:rPr>
        <w:t xml:space="preserve">Step 5. </w:t>
      </w:r>
      <w:r>
        <w:t>Record eligible and ineligible applications and the reason for any rejection.</w:t>
      </w:r>
    </w:p>
    <w:p>
      <w:pPr>
        <w:spacing w:after="80"/>
      </w:pPr>
      <w:r>
        <w:rPr>
          <w:b/>
        </w:rPr>
        <w:t xml:space="preserve">Step 6. </w:t>
      </w:r>
      <w:r>
        <w:t>If the call allows formal completion of an incomplete file, provide equal conditions and deadline to all candidates in the same situation.</w:t>
      </w:r>
    </w:p>
    <w:p>
      <w:pPr>
        <w:pStyle w:val="Heading1"/>
        <w:spacing w:after="80"/>
      </w:pPr>
      <w:r>
        <w:t>V. COMMITTEE SCORING</w:t>
      </w:r>
    </w:p>
    <w:p>
      <w:pPr>
        <w:spacing w:after="80"/>
      </w:pPr>
      <w:r>
        <w:t>The committee uses OB-ER-03 for students and OB-ER-04 for staff. The exact criterion names and maximum points are copied from the call into the scoring sheet. Committee members sign the scoring record. No new criterion may be added after the application deadline.</w:t>
      </w:r>
    </w:p>
    <w:p>
      <w:pPr>
        <w:pStyle w:val="Heading1"/>
        <w:spacing w:after="80"/>
      </w:pPr>
      <w:r>
        <w:t>VI. RANKING AND APPEAL</w:t>
      </w:r>
    </w:p>
    <w:p>
      <w:pPr>
        <w:pStyle w:val="Heading2"/>
        <w:spacing w:after="80"/>
      </w:pPr>
      <w:r>
        <w:t>Procedure</w:t>
      </w:r>
    </w:p>
    <w:p>
      <w:pPr>
        <w:spacing w:after="80"/>
      </w:pPr>
      <w:r>
        <w:rPr>
          <w:b/>
        </w:rPr>
        <w:t xml:space="preserve">Step 1. </w:t>
      </w:r>
      <w:r>
        <w:t>The committee prepares minutes and a preliminary ranking list.</w:t>
      </w:r>
    </w:p>
    <w:p>
      <w:pPr>
        <w:spacing w:after="80"/>
      </w:pPr>
      <w:r>
        <w:rPr>
          <w:b/>
        </w:rPr>
        <w:t xml:space="preserve">Step 2. </w:t>
      </w:r>
      <w:r>
        <w:t>Results and points are published in a way consistent with data-protection requirements.</w:t>
      </w:r>
    </w:p>
    <w:p>
      <w:pPr>
        <w:spacing w:after="80"/>
      </w:pPr>
      <w:r>
        <w:rPr>
          <w:b/>
        </w:rPr>
        <w:t xml:space="preserve">Step 3. </w:t>
      </w:r>
      <w:r>
        <w:t>Candidates may appeal within the deadline specified in the call.</w:t>
      </w:r>
    </w:p>
    <w:p>
      <w:pPr>
        <w:spacing w:after="80"/>
      </w:pPr>
      <w:r>
        <w:rPr>
          <w:b/>
        </w:rPr>
        <w:t xml:space="preserve">Step 4. </w:t>
      </w:r>
      <w:r>
        <w:t>The appeal may concern calculation errors, procedural irregularities or incorrect application of the published criteria.</w:t>
      </w:r>
    </w:p>
    <w:p>
      <w:pPr>
        <w:spacing w:after="80"/>
      </w:pPr>
      <w:r>
        <w:rPr>
          <w:b/>
        </w:rPr>
        <w:t xml:space="preserve">Step 5. </w:t>
      </w:r>
      <w:r>
        <w:t>The competent body reviews the appeal and documents the decision.</w:t>
      </w:r>
    </w:p>
    <w:p>
      <w:pPr>
        <w:spacing w:after="80"/>
      </w:pPr>
      <w:r>
        <w:rPr>
          <w:b/>
        </w:rPr>
        <w:t xml:space="preserve">Step 6. </w:t>
      </w:r>
      <w:r>
        <w:t>A final ranking list and reserve list are published.</w:t>
      </w:r>
    </w:p>
    <w:p>
      <w:pPr>
        <w:pStyle w:val="Heading1"/>
        <w:spacing w:after="80"/>
      </w:pPr>
      <w:r>
        <w:t>VII. WITHDRAWAL AND RESERVE LIST</w:t>
      </w:r>
    </w:p>
    <w:p>
      <w:pPr>
        <w:spacing w:after="80"/>
      </w:pPr>
      <w:r>
        <w:t>A selected candidate who withdraws must notify Melius Academy promptly. If timing, partner acceptance and budget allow, the place may be offered to the next eligible candidate on the reserve list.</w:t>
      </w:r>
    </w:p>
    <w:p>
      <w:pPr>
        <w:pStyle w:val="Heading1"/>
        <w:spacing w:after="80"/>
      </w:pPr>
      <w:r>
        <w:t>VIII. CONFLICT OF INTEREST AND RECORDS</w:t>
      </w:r>
    </w:p>
    <w:p>
      <w:pPr>
        <w:spacing w:after="80"/>
      </w:pPr>
      <w:r>
        <w:t>A committee member with a direct personal, family, professional or other conflict of interest must not score the affected candidate.</w:t>
      </w:r>
    </w:p>
    <w:p>
      <w:pPr>
        <w:pStyle w:val="ListBullet"/>
        <w:spacing w:after="80"/>
      </w:pPr>
      <w:r>
        <w:t>published call</w:t>
      </w:r>
    </w:p>
    <w:p>
      <w:pPr>
        <w:pStyle w:val="ListBullet"/>
        <w:spacing w:after="80"/>
      </w:pPr>
      <w:r>
        <w:t>applications</w:t>
      </w:r>
    </w:p>
    <w:p>
      <w:pPr>
        <w:pStyle w:val="ListBullet"/>
        <w:spacing w:after="80"/>
      </w:pPr>
      <w:r>
        <w:t>administrative checklist</w:t>
      </w:r>
    </w:p>
    <w:p>
      <w:pPr>
        <w:pStyle w:val="ListBullet"/>
        <w:spacing w:after="80"/>
      </w:pPr>
      <w:r>
        <w:t>individual scoring sheets</w:t>
      </w:r>
    </w:p>
    <w:p>
      <w:pPr>
        <w:pStyle w:val="ListBullet"/>
        <w:spacing w:after="80"/>
      </w:pPr>
      <w:r>
        <w:t>committee minutes</w:t>
      </w:r>
    </w:p>
    <w:p>
      <w:pPr>
        <w:pStyle w:val="ListBullet"/>
        <w:spacing w:after="80"/>
      </w:pPr>
      <w:r>
        <w:t>preliminary ranking</w:t>
      </w:r>
    </w:p>
    <w:p>
      <w:pPr>
        <w:pStyle w:val="ListBullet"/>
        <w:spacing w:after="80"/>
      </w:pPr>
      <w:r>
        <w:t>appeals and decisions</w:t>
      </w:r>
    </w:p>
    <w:p>
      <w:pPr>
        <w:pStyle w:val="ListBullet"/>
        <w:spacing w:after="80"/>
      </w:pPr>
      <w:r>
        <w:t>final and reserve ranking lists</w:t>
      </w:r>
    </w:p>
    <w:p>
      <w:pPr>
        <w:pStyle w:val="ListBullet"/>
        <w:spacing w:after="80"/>
      </w:pPr>
      <w:r>
        <w:t>acceptance/withdrawal confirmations</w:t>
      </w:r>
    </w:p>
    <w:p>
      <w:pPr>
        <w:spacing w:after="80"/>
      </w:pPr>
      <w:r>
        <w:br w:type="page"/>
      </w:r>
    </w:p>
    <w:p>
      <w:pPr>
        <w:spacing w:after="80"/>
      </w:pPr>
      <w:r>
        <w:t>The criteria, weighting, evidence requirements and tie-breaking rules are defined in the specific published Call. The Selection Committee copies those criteria into OB-ER-03 or OB-ER-04 and must not introduce, remove or re-weight criteria after the application deadline.</w:t>
      </w:r>
    </w:p>
    <w:p>
      <w:pPr>
        <w:pStyle w:val="Heading1"/>
        <w:spacing w:after="80"/>
      </w:pPr>
      <w:r>
        <w:t>Selection criteria safeguard</w:t>
      </w:r>
    </w:p>
    <w:p>
      <w:pPr>
        <w:spacing w:after="80"/>
      </w:pPr>
      <w:r>
        <w:t>This document is applied together with the current Erasmus+ Programme Guide 2026, ECHE principles, the applicable Learning Agreement/Mobility Agreement templates, the Grant Agreement of the specific project and the rules of the competent National Agency. If a programme rule changes, the rule applicable to the relevant call/project year prevails.</w:t>
      </w:r>
    </w:p>
    <w:p>
      <w:pPr>
        <w:pStyle w:val="Heading1"/>
        <w:spacing w:after="80"/>
      </w:pPr>
      <w:r>
        <w:t>Programme basis and applicability</w:t>
      </w:r>
    </w:p>
    <w:p>
      <w:pPr/>
      <w:r>
        <w:t>The institutional continuity of Melius Academy originates from the former Academy of Business Economics in Čačak. The institution operated under that name and held a work permit dating back to 2009. During 2026, a change of seat and name was implemented: in May 2026 the move from Čačak to Belgrade and the new name “Melius Academy” were publicly announced; in July 2026 the institution published the formal change of name and seat and subsequently a new work permit issued by the Ministry of Education for the higher education institution “Melius Academy” based in Belgrade. The change therefore represents institutional continuity under a new name and seat rather than the establishment of an entirely new institution.</w:t>
      </w:r>
    </w:p>
    <w:p>
      <w:pPr/>
      <w:r>
        <w:t>Melius Academy is a higher education institution of academic studies based at Trešnjin cvet 11, Belgrade, Republic of Serbia. Regular teaching is delivered in Serbian. For incoming Erasmus+ students, English-language support may be arranged in advance with the Erasmus/International Coordinator, the responsible teacher and the relevant organisational unit. Depending on academic and organisational feasibility, this may include explanations in English, selected English-language materials or interpretation/translation support. Such support is not automatically guaranteed for every course and should be agreed before final approval of the Learning Agreement.</w:t>
      </w:r>
    </w:p>
    <w:p>
      <w:pPr>
        <w:pStyle w:val="Heading1"/>
      </w:pPr>
      <w:r>
        <w:t>Institutional profile and continuity</w:t>
      </w:r>
    </w:p>
    <w:p>
      <w:pPr>
        <w:spacing w:after="80"/>
        <w:jc w:val="center"/>
      </w:pPr>
      <w:r>
        <w:rPr>
          <w:b/>
          <w:color w:val="B4B4B4"/>
          <w:sz w:val="60"/>
        </w:rPr>
        <w:t>PRIMER / EXAMPLE</w:t>
      </w:r>
    </w:p>
    <w:p>
      <w:pPr>
        <w:spacing w:after="80"/>
        <w:jc w:val="center"/>
      </w:pPr>
      <w:r>
        <w:rPr>
          <w:b/>
          <w:color w:val="B40000"/>
          <w:sz w:val="26"/>
        </w:rPr>
        <w:t>DELETE THIS ENTIRE PAGE BEFORE OFFICIAL USE</w:t>
      </w:r>
    </w:p>
    <w:p>
      <w:pPr>
        <w:pStyle w:val="Heading2"/>
        <w:spacing w:after="80"/>
      </w:pPr>
      <w:r>
        <w:t>Worked example</w:t>
      </w:r>
    </w:p>
    <w:tbl>
      <w:tblPr>
        <w:tblStyle w:val="TableGrid"/>
        <w:tblW w:type="auto" w:w="0"/>
        <w:jc w:val="center"/>
        <w:tblLook w:firstColumn="1" w:firstRow="1" w:lastColumn="0" w:lastRow="0" w:noHBand="0" w:noVBand="1" w:val="04A0"/>
      </w:tblPr>
      <w:tblGrid>
        <w:gridCol w:w="5083"/>
        <w:gridCol w:w="5083"/>
      </w:tblGrid>
      <w:tr>
        <w:trPr>
          <w:tblHeader w:val="true"/>
        </w:trPr>
        <w:tc>
          <w:tcPr>
            <w:tcW w:type="dxa" w:w="5083"/>
            <w:shd w:fill="E8F0F5"/>
          </w:tcPr>
          <w:p>
            <w:r>
              <w:rPr>
                <w:b/>
                <w:sz w:val="18"/>
              </w:rPr>
              <w:t>Field</w:t>
            </w:r>
          </w:p>
        </w:tc>
        <w:tc>
          <w:tcPr>
            <w:tcW w:type="dxa" w:w="5083"/>
            <w:shd w:fill="E8F0F5"/>
          </w:tcPr>
          <w:p>
            <w:r>
              <w:rPr>
                <w:b/>
                <w:sz w:val="18"/>
              </w:rPr>
              <w:t>Completed example</w:t>
            </w:r>
          </w:p>
        </w:tc>
      </w:tr>
      <w:tr>
        <w:tc>
          <w:tcPr>
            <w:tcW w:type="dxa" w:w="5083"/>
            <w:vAlign w:val="center"/>
          </w:tcPr>
          <w:p>
            <w:r>
              <w:rPr>
                <w:sz w:val="18"/>
              </w:rPr>
              <w:t>Call</w:t>
            </w:r>
          </w:p>
        </w:tc>
        <w:tc>
          <w:tcPr>
            <w:tcW w:type="dxa" w:w="5083"/>
            <w:vAlign w:val="center"/>
          </w:tcPr>
          <w:p>
            <w:r>
              <w:rPr>
                <w:sz w:val="18"/>
              </w:rPr>
              <w:t>KA131-HED SMS</w:t>
            </w:r>
          </w:p>
        </w:tc>
      </w:tr>
      <w:tr>
        <w:tc>
          <w:tcPr>
            <w:tcW w:type="dxa" w:w="5083"/>
            <w:vAlign w:val="center"/>
          </w:tcPr>
          <w:p>
            <w:r>
              <w:rPr>
                <w:sz w:val="18"/>
              </w:rPr>
              <w:t>Criteria</w:t>
            </w:r>
          </w:p>
        </w:tc>
        <w:tc>
          <w:tcPr>
            <w:tcW w:type="dxa" w:w="5083"/>
            <w:vAlign w:val="center"/>
          </w:tcPr>
          <w:p>
            <w:r>
              <w:rPr>
                <w:sz w:val="18"/>
              </w:rPr>
              <w:t>Defined and weighted in the specific call</w:t>
            </w:r>
          </w:p>
        </w:tc>
      </w:tr>
      <w:tr>
        <w:tc>
          <w:tcPr>
            <w:tcW w:type="dxa" w:w="5083"/>
            <w:vAlign w:val="center"/>
          </w:tcPr>
          <w:p>
            <w:r>
              <w:rPr>
                <w:sz w:val="18"/>
              </w:rPr>
              <w:t>Scoring</w:t>
            </w:r>
          </w:p>
        </w:tc>
        <w:tc>
          <w:tcPr>
            <w:tcW w:type="dxa" w:w="5083"/>
            <w:vAlign w:val="center"/>
          </w:tcPr>
          <w:p>
            <w:r>
              <w:rPr>
                <w:sz w:val="18"/>
              </w:rPr>
              <w:t>Committee copies the call criteria into OB-ER-03</w:t>
            </w:r>
          </w:p>
        </w:tc>
      </w:tr>
      <w:tr>
        <w:tc>
          <w:tcPr>
            <w:tcW w:type="dxa" w:w="5083"/>
            <w:vAlign w:val="center"/>
          </w:tcPr>
          <w:p>
            <w:r>
              <w:rPr>
                <w:sz w:val="18"/>
              </w:rPr>
              <w:t>Result</w:t>
            </w:r>
          </w:p>
        </w:tc>
        <w:tc>
          <w:tcPr>
            <w:tcW w:type="dxa" w:w="5083"/>
            <w:vAlign w:val="center"/>
          </w:tcPr>
          <w:p>
            <w:r>
              <w:rPr>
                <w:sz w:val="18"/>
              </w:rPr>
              <w:t>Preliminary ranking → appeal → final ranking</w:t>
            </w:r>
          </w:p>
        </w:tc>
      </w:tr>
    </w:tbl>
    <w:p>
      <w:pPr>
        <w:spacing w:after="80"/>
      </w:pPr>
    </w:p>
    <w:p>
      <w:pPr>
        <w:spacing w:after="80"/>
        <w:jc w:val="center"/>
      </w:pPr>
      <w:r>
        <w:rPr>
          <w:b/>
          <w:color w:val="B40000"/>
        </w:rPr>
        <w:t>DELETE THIS ENTIRE PAGE BEFORE OFFICIAL USE</w:t>
      </w:r>
    </w:p>
    <w:sectPr w:rsidR="00FC693F" w:rsidRPr="0006063C" w:rsidSect="00034616">
      <w:headerReference w:type="default" r:id="rId9"/>
      <w:footerReference w:type="default" r:id="rId10"/>
      <w:pgSz w:w="12240" w:h="15840"/>
      <w:pgMar w:top="979" w:right="1037" w:bottom="936" w:left="1037" w:header="173"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E6E6E"/>
        <w:sz w:val="16"/>
      </w:rPr>
      <w:t>Melius Academy | Erasmus+ Higher Education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drawing>
        <wp:inline xmlns:a="http://schemas.openxmlformats.org/drawingml/2006/main" xmlns:pic="http://schemas.openxmlformats.org/drawingml/2006/picture">
          <wp:extent cx="6537960" cy="745327"/>
          <wp:docPr id="1" name="Picture 1"/>
          <wp:cNvGraphicFramePr>
            <a:graphicFrameLocks noChangeAspect="1"/>
          </wp:cNvGraphicFramePr>
          <a:graphic>
            <a:graphicData uri="http://schemas.openxmlformats.org/drawingml/2006/picture">
              <pic:pic>
                <pic:nvPicPr>
                  <pic:cNvPr id="0" name="Melius_Erasmus_Header_FINAL.png"/>
                  <pic:cNvPicPr/>
                </pic:nvPicPr>
                <pic:blipFill>
                  <a:blip r:embed="rId3"/>
                  <a:stretch>
                    <a:fillRect/>
                  </a:stretch>
                </pic:blipFill>
                <pic:spPr>
                  <a:xfrm>
                    <a:off x="0" y="0"/>
                    <a:ext cx="6537960" cy="745327"/>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Aptos" w:hAnsi="Aptos"/>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22B38"/>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22B3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22B3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22B38"/>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
    <w:name w:val="Article"/>
    <w:rPr>
      <w:rFonts w:ascii="Aptos" w:hAnsi="Aptos"/>
      <w:b/>
      <w:color w:val="122B38"/>
      <w:sz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