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t>Melius Academy, Belgrade</w:t>
      </w:r>
    </w:p>
    <w:p>
      <w:pPr>
        <w:jc w:val="center"/>
      </w:pPr>
      <w:r>
        <w:rPr>
          <w:b/>
          <w:color w:val="501214"/>
        </w:rPr>
        <w:t>Visoka škola akademskih studija „Melius Academy“ – Beograd</w:t>
      </w:r>
    </w:p>
    <w:p>
      <w:pPr>
        <w:spacing w:before="1800" w:after="80"/>
        <w:jc w:val="center"/>
      </w:pPr>
      <w:r>
        <w:rPr>
          <w:b/>
          <w:color w:val="122B38"/>
          <w:sz w:val="42"/>
        </w:rPr>
        <w:t>KONKURS, SELEKCIJA I PRIGOVORI</w:t>
      </w:r>
    </w:p>
    <w:p>
      <w:pPr>
        <w:spacing w:after="80"/>
        <w:jc w:val="center"/>
      </w:pPr>
      <w:r>
        <w:rPr>
          <w:color w:val="5A5A5A"/>
          <w:sz w:val="18"/>
        </w:rPr>
      </w:r>
    </w:p>
    <w:p>
      <w:pPr>
        <w:spacing w:after="80"/>
        <w:jc w:val="center"/>
      </w:pPr>
      <w:r>
        <w:rPr>
          <w:i/>
          <w:sz w:val="22"/>
        </w:rPr>
        <w:t>KA131/KA171 – studenti i osoblje</w:t>
      </w:r>
    </w:p>
    <w:p>
      <w:pPr>
        <w:spacing w:after="80"/>
        <w:jc w:val="center"/>
      </w:pPr>
      <w:r>
        <w:rPr>
          <w:color w:val="646464"/>
          <w:sz w:val="20"/>
        </w:rPr>
        <w:t>Melius Academy | Erasmus+ Higher Education</w:t>
      </w:r>
    </w:p>
    <w:p>
      <w:pPr>
        <w:spacing w:after="80"/>
      </w:pPr>
      <w:r>
        <w:br w:type="page"/>
      </w:r>
    </w:p>
    <w:p>
      <w:pPr>
        <w:pStyle w:val="Heading1"/>
        <w:spacing w:after="80"/>
      </w:pPr>
      <w:r>
        <w:t>Legenda skraćenica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Skraćenica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Značenje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Studies – mobilnost studenata radi studiranja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Traineeships – mobilnost studenata radi stručne prakse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Teaching – mobilnost osoblja radi držanja nastave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Training – mobilnost osoblja radi obuke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BIP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Blended Intensive Programme – kombinovani intenzivni program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ECTS / ESPB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European Credit Transfer and Accumulation System / Evropski sistem prenosa bodova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LA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 – ugovor o učenju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Mobility Agreement – ugovor o programu mobilnosti osoblja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IIA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Inter-Institutional Agreement – međuinstitucionalni sporazum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HEI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Higher Education Institution – visokoškolska ustanova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ECHE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Charter for Higher Education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EWP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Without Paper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I. PRIPREMA KONKURSA</w:t>
      </w:r>
    </w:p>
    <w:p>
      <w:pPr>
        <w:pStyle w:val="Heading3"/>
        <w:spacing w:after="80"/>
      </w:pPr>
      <w:r>
        <w:t>Pre objave</w:t>
      </w:r>
    </w:p>
    <w:p>
      <w:pPr>
        <w:spacing w:after="80"/>
      </w:pPr>
      <w:r>
        <w:rPr>
          <w:b/>
        </w:rPr>
        <w:t xml:space="preserve">Korak 1. </w:t>
      </w:r>
      <w:r>
        <w:t>Proveriti projekat, budžet, kvote, partnerski sporazum i rokove.</w:t>
      </w:r>
    </w:p>
    <w:p>
      <w:pPr>
        <w:spacing w:after="80"/>
      </w:pPr>
      <w:r>
        <w:rPr>
          <w:b/>
        </w:rPr>
        <w:t xml:space="preserve">Korak 2. </w:t>
      </w:r>
      <w:r>
        <w:t>Definisati kategoriju učesnika i vrstu mobilnosti.</w:t>
      </w:r>
    </w:p>
    <w:p>
      <w:pPr>
        <w:spacing w:after="80"/>
      </w:pPr>
      <w:r>
        <w:rPr>
          <w:b/>
        </w:rPr>
        <w:t xml:space="preserve">Korak 3. </w:t>
      </w:r>
      <w:r>
        <w:t>Definisati minimalne uslove i dokumentaciju.</w:t>
      </w:r>
    </w:p>
    <w:p>
      <w:pPr>
        <w:spacing w:after="80"/>
      </w:pPr>
      <w:r>
        <w:rPr>
          <w:b/>
        </w:rPr>
        <w:t xml:space="preserve">Korak 4. </w:t>
      </w:r>
      <w:r>
        <w:t>Definisati kriterijume bodovanja i način rešavanja izjednačenog broja bodova.</w:t>
      </w:r>
    </w:p>
    <w:p>
      <w:pPr>
        <w:spacing w:after="80"/>
      </w:pPr>
      <w:r>
        <w:rPr>
          <w:b/>
        </w:rPr>
        <w:t xml:space="preserve">Korak 5. </w:t>
      </w:r>
      <w:r>
        <w:t>Definisati rok i način podnošenja prijave.</w:t>
      </w:r>
    </w:p>
    <w:p>
      <w:pPr>
        <w:spacing w:after="80"/>
      </w:pPr>
      <w:r>
        <w:rPr>
          <w:b/>
        </w:rPr>
        <w:t xml:space="preserve">Korak 6. </w:t>
      </w:r>
      <w:r>
        <w:t>Definisati rok i način prigovora.</w:t>
      </w:r>
    </w:p>
    <w:p>
      <w:pPr>
        <w:spacing w:after="80"/>
      </w:pPr>
      <w:r>
        <w:rPr>
          <w:b/>
        </w:rPr>
        <w:t xml:space="preserve">Korak 7. </w:t>
      </w:r>
      <w:r>
        <w:t>Odrediti komisiju i izbegavati sukob interesa.</w:t>
      </w:r>
    </w:p>
    <w:p>
      <w:pPr>
        <w:pStyle w:val="Heading1"/>
        <w:spacing w:after="80"/>
      </w:pPr>
      <w:r>
        <w:t>II. SADRŽAJ KONKURSA</w:t>
      </w:r>
    </w:p>
    <w:p>
      <w:pPr>
        <w:pStyle w:val="Article"/>
        <w:spacing w:after="80"/>
      </w:pPr>
      <w:r>
        <w:t>Član 1. – Obavezni elementi</w:t>
      </w:r>
    </w:p>
    <w:p>
      <w:pPr>
        <w:pStyle w:val="ListBullet"/>
        <w:spacing w:after="80"/>
      </w:pPr>
      <w:r>
        <w:t>projekat/akcija i vrsta mobilnosti</w:t>
      </w:r>
    </w:p>
    <w:p>
      <w:pPr>
        <w:pStyle w:val="ListBullet"/>
        <w:spacing w:after="80"/>
      </w:pPr>
      <w:r>
        <w:t>partner/destinacija kada je unapred poznata</w:t>
      </w:r>
    </w:p>
    <w:p>
      <w:pPr>
        <w:pStyle w:val="ListBullet"/>
        <w:spacing w:after="80"/>
      </w:pPr>
      <w:r>
        <w:t>ciljna grupa</w:t>
      </w:r>
    </w:p>
    <w:p>
      <w:pPr>
        <w:pStyle w:val="ListBullet"/>
        <w:spacing w:after="80"/>
      </w:pPr>
      <w:r>
        <w:t>period i trajanje</w:t>
      </w:r>
    </w:p>
    <w:p>
      <w:pPr>
        <w:pStyle w:val="ListBullet"/>
        <w:spacing w:after="80"/>
      </w:pPr>
      <w:r>
        <w:t>osnovni uslovi</w:t>
      </w:r>
    </w:p>
    <w:p>
      <w:pPr>
        <w:pStyle w:val="ListBullet"/>
        <w:spacing w:after="80"/>
      </w:pPr>
      <w:r>
        <w:t>dokumentacija</w:t>
      </w:r>
    </w:p>
    <w:p>
      <w:pPr>
        <w:pStyle w:val="ListBullet"/>
        <w:spacing w:after="80"/>
      </w:pPr>
      <w:r>
        <w:t>kriterijumi i maksimalni bodovi</w:t>
      </w:r>
    </w:p>
    <w:p>
      <w:pPr>
        <w:pStyle w:val="ListBullet"/>
        <w:spacing w:after="80"/>
      </w:pPr>
      <w:r>
        <w:t>informacija o grant-u bez garantovanja iznosa pre ugovora</w:t>
      </w:r>
    </w:p>
    <w:p>
      <w:pPr>
        <w:pStyle w:val="ListBullet"/>
        <w:spacing w:after="80"/>
      </w:pPr>
      <w:r>
        <w:t>rok prijave</w:t>
      </w:r>
    </w:p>
    <w:p>
      <w:pPr>
        <w:pStyle w:val="ListBullet"/>
        <w:spacing w:after="80"/>
      </w:pPr>
      <w:r>
        <w:t>način objave rezultata</w:t>
      </w:r>
    </w:p>
    <w:p>
      <w:pPr>
        <w:pStyle w:val="ListBullet"/>
        <w:spacing w:after="80"/>
      </w:pPr>
      <w:r>
        <w:t>prigovor</w:t>
      </w:r>
    </w:p>
    <w:p>
      <w:pPr>
        <w:pStyle w:val="ListBullet"/>
        <w:spacing w:after="80"/>
      </w:pPr>
      <w:r>
        <w:t>kontakt</w:t>
      </w:r>
    </w:p>
    <w:p>
      <w:pPr>
        <w:pStyle w:val="Heading1"/>
        <w:spacing w:after="80"/>
      </w:pPr>
      <w:r>
        <w:t>III. ADMINISTRATIVNA PROVERA</w:t>
      </w:r>
    </w:p>
    <w:p>
      <w:pPr>
        <w:pStyle w:val="Heading3"/>
        <w:spacing w:after="80"/>
      </w:pPr>
      <w:r>
        <w:t>Kontrola prijave</w:t>
      </w:r>
    </w:p>
    <w:p>
      <w:pPr>
        <w:spacing w:after="80"/>
      </w:pPr>
      <w:r>
        <w:rPr>
          <w:b/>
        </w:rPr>
        <w:t xml:space="preserve">Korak 1. </w:t>
      </w:r>
      <w:r>
        <w:t>Proveriti blagovremenost.</w:t>
      </w:r>
    </w:p>
    <w:p>
      <w:pPr>
        <w:spacing w:after="80"/>
      </w:pPr>
      <w:r>
        <w:rPr>
          <w:b/>
        </w:rPr>
        <w:t xml:space="preserve">Korak 2. </w:t>
      </w:r>
      <w:r>
        <w:t>Proveriti status kandidata.</w:t>
      </w:r>
    </w:p>
    <w:p>
      <w:pPr>
        <w:spacing w:after="80"/>
      </w:pPr>
      <w:r>
        <w:rPr>
          <w:b/>
        </w:rPr>
        <w:t xml:space="preserve">Korak 3. </w:t>
      </w:r>
      <w:r>
        <w:t>Proveriti potpunost dokumentacije.</w:t>
      </w:r>
    </w:p>
    <w:p>
      <w:pPr>
        <w:spacing w:after="80"/>
      </w:pPr>
      <w:r>
        <w:rPr>
          <w:b/>
        </w:rPr>
        <w:t xml:space="preserve">Korak 4. </w:t>
      </w:r>
      <w:r>
        <w:t>Proveriti programska ograničenja, uključujući prethodne mobilnosti studenta.</w:t>
      </w:r>
    </w:p>
    <w:p>
      <w:pPr>
        <w:spacing w:after="80"/>
      </w:pPr>
      <w:r>
        <w:rPr>
          <w:b/>
        </w:rPr>
        <w:t xml:space="preserve">Korak 5. </w:t>
      </w:r>
      <w:r>
        <w:t>Evidentirati prihvatljive i neprihvatljive prijave.</w:t>
      </w:r>
    </w:p>
    <w:p>
      <w:pPr>
        <w:spacing w:after="80"/>
      </w:pPr>
      <w:r>
        <w:rPr>
          <w:b/>
        </w:rPr>
        <w:t xml:space="preserve">Korak 6. </w:t>
      </w:r>
      <w:r>
        <w:t>Ako konkurs dopušta, zatražiti dopunu formalno nepotpune dokumentacije u jednakom roku za sve kandidate.</w:t>
      </w:r>
    </w:p>
    <w:p>
      <w:pPr>
        <w:pStyle w:val="Heading1"/>
        <w:spacing w:after="80"/>
      </w:pPr>
      <w:r>
        <w:t>IV. BODOVANJE STUDENATA</w:t>
      </w:r>
    </w:p>
    <w:p>
      <w:pPr>
        <w:spacing w:after="80"/>
      </w:pPr>
      <w:r>
        <w:t>Kriterijumi, maksimalni broj bodova, način dokazivanja i eventualna pravila prednosti definišu se isključivo u konkretnom konkursu. Komisija ne sme menjati kriterijume nakon isteka roka za prijavu.</w:t>
      </w:r>
    </w:p>
    <w:p>
      <w:pPr>
        <w:spacing w:after="80"/>
      </w:pPr>
      <w:r>
        <w:t>Za bodovanje se koristi OB-ER-03, u koji se prepisuju kriterijumi i maksimalni bodovi iz objavljenog konkursa.</w:t>
      </w:r>
    </w:p>
    <w:p>
      <w:pPr>
        <w:spacing w:after="80"/>
      </w:pPr>
      <w:r>
        <w:t>Konkretni ponderi mogu biti drugačiji, ali moraju biti objavljeni pre isteka roka i ne smeju se menjati tokom evaluacije.</w:t>
      </w:r>
    </w:p>
    <w:p>
      <w:pPr>
        <w:pStyle w:val="Heading1"/>
        <w:spacing w:after="80"/>
      </w:pPr>
      <w:r>
        <w:t>V. BODOVANJE OSOBLJA</w:t>
      </w:r>
    </w:p>
    <w:p>
      <w:pPr>
        <w:spacing w:after="80"/>
      </w:pPr>
      <w:r>
        <w:t>Kriterijumi i ponderi za osoblje definišu se konkretnim konkursom u skladu sa ciljem mobilnosti i projektnim prioritetima.</w:t>
      </w:r>
    </w:p>
    <w:p>
      <w:pPr>
        <w:spacing w:after="80"/>
      </w:pPr>
      <w:r>
        <w:t>Za bodovanje se koristi OB-ER-04, u koji komisija prepisuje kriterijume i maksimalne bodove iz objavljenog konkursa.</w:t>
      </w:r>
    </w:p>
    <w:p>
      <w:pPr>
        <w:pStyle w:val="Heading1"/>
        <w:spacing w:after="80"/>
      </w:pPr>
      <w:r>
        <w:t>VI. RANG-LISTE I PRIGOVOR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Komisija sačinjava zapisnik i preliminarnu rang-listu.</w:t>
      </w:r>
    </w:p>
    <w:p>
      <w:pPr>
        <w:spacing w:after="80"/>
      </w:pPr>
      <w:r>
        <w:rPr>
          <w:b/>
        </w:rPr>
        <w:t xml:space="preserve">Korak 2. </w:t>
      </w:r>
      <w:r>
        <w:t>Objavljuju se rezultat i bodovi u meri u kojoj je to usklađeno sa zaštitom podataka.</w:t>
      </w:r>
    </w:p>
    <w:p>
      <w:pPr>
        <w:spacing w:after="80"/>
      </w:pPr>
      <w:r>
        <w:rPr>
          <w:b/>
        </w:rPr>
        <w:t xml:space="preserve">Korak 3. </w:t>
      </w:r>
      <w:r>
        <w:t>Kandidat može podneti prigovor u roku navedenom konkursom; preporučeni interni rok je 3–5 radnih dana.</w:t>
      </w:r>
    </w:p>
    <w:p>
      <w:pPr>
        <w:spacing w:after="80"/>
      </w:pPr>
      <w:r>
        <w:rPr>
          <w:b/>
        </w:rPr>
        <w:t xml:space="preserve">Korak 4. </w:t>
      </w:r>
      <w:r>
        <w:t>Prigovor se može odnositi na pogrešan obračun, proceduralnu nepravilnost ili pogrešnu primenu kriterijuma.</w:t>
      </w:r>
    </w:p>
    <w:p>
      <w:pPr>
        <w:spacing w:after="80"/>
      </w:pPr>
      <w:r>
        <w:rPr>
          <w:b/>
        </w:rPr>
        <w:t xml:space="preserve">Korak 5. </w:t>
      </w:r>
      <w:r>
        <w:t>O prigovoru odlučuje nadležni organ/komisija koja može objektivno preispitati prvobitnu odluku.</w:t>
      </w:r>
    </w:p>
    <w:p>
      <w:pPr>
        <w:spacing w:after="80"/>
      </w:pPr>
      <w:r>
        <w:rPr>
          <w:b/>
        </w:rPr>
        <w:t xml:space="preserve">Korak 6. </w:t>
      </w:r>
      <w:r>
        <w:t>Nakon rešavanja prigovora objavljuje se konačna lista i rezervna lista.</w:t>
      </w:r>
    </w:p>
    <w:p>
      <w:pPr>
        <w:pStyle w:val="Heading1"/>
        <w:spacing w:after="80"/>
      </w:pPr>
      <w:r>
        <w:t>VII. ODUSTAJANJE I REZERVNA LISTA</w:t>
      </w:r>
    </w:p>
    <w:p>
      <w:pPr>
        <w:pStyle w:val="Article"/>
        <w:spacing w:after="80"/>
      </w:pPr>
      <w:r>
        <w:t>Član 2. – Odustajanje</w:t>
      </w:r>
    </w:p>
    <w:p>
      <w:pPr>
        <w:spacing w:after="80"/>
      </w:pPr>
      <w:r>
        <w:t>Odabrani kandidat koji odustaje odmah obaveštava Erasmus koordinatora. Mesto se može ponuditi sledećem kandidatu sa rezervne liste ako to dopuštaju rokovi, akademski uslovi i budžet.</w:t>
      </w:r>
    </w:p>
    <w:p>
      <w:pPr>
        <w:pStyle w:val="Heading1"/>
        <w:spacing w:after="80"/>
      </w:pPr>
      <w:r>
        <w:t>VIII. SUKOB INTERESA I DOKUMENTOVANJE</w:t>
      </w:r>
    </w:p>
    <w:p>
      <w:pPr>
        <w:pStyle w:val="Article"/>
        <w:spacing w:after="80"/>
      </w:pPr>
      <w:r>
        <w:t>Član 3. – Sukob interesa</w:t>
      </w:r>
    </w:p>
    <w:p>
      <w:pPr>
        <w:spacing w:after="80"/>
      </w:pPr>
      <w:r>
        <w:t>Član komisije koji ima neposredni lični, porodični, profesionalni ili drugi interes u odnosu na kandidata izuzima se iz ocenjivanja tog kandidata.</w:t>
      </w:r>
    </w:p>
    <w:p>
      <w:pPr>
        <w:pStyle w:val="Article"/>
        <w:spacing w:after="80"/>
      </w:pPr>
      <w:r>
        <w:t>Član 4. – Dokumentacija</w:t>
      </w:r>
    </w:p>
    <w:p>
      <w:pPr>
        <w:pStyle w:val="ListBullet"/>
        <w:spacing w:after="80"/>
      </w:pPr>
      <w:r>
        <w:t>tekst konkursa</w:t>
      </w:r>
    </w:p>
    <w:p>
      <w:pPr>
        <w:pStyle w:val="ListBullet"/>
        <w:spacing w:after="80"/>
      </w:pPr>
      <w:r>
        <w:t>prijave</w:t>
      </w:r>
    </w:p>
    <w:p>
      <w:pPr>
        <w:pStyle w:val="ListBullet"/>
        <w:spacing w:after="80"/>
      </w:pPr>
      <w:r>
        <w:t>administrativna checklista</w:t>
      </w:r>
    </w:p>
    <w:p>
      <w:pPr>
        <w:pStyle w:val="ListBullet"/>
        <w:spacing w:after="80"/>
      </w:pPr>
      <w:r>
        <w:t>bodovne liste</w:t>
      </w:r>
    </w:p>
    <w:p>
      <w:pPr>
        <w:pStyle w:val="ListBullet"/>
        <w:spacing w:after="80"/>
      </w:pPr>
      <w:r>
        <w:t>zapisnik komisije</w:t>
      </w:r>
    </w:p>
    <w:p>
      <w:pPr>
        <w:pStyle w:val="ListBullet"/>
        <w:spacing w:after="80"/>
      </w:pPr>
      <w:r>
        <w:t>preliminarna lista</w:t>
      </w:r>
    </w:p>
    <w:p>
      <w:pPr>
        <w:pStyle w:val="ListBullet"/>
        <w:spacing w:after="80"/>
      </w:pPr>
      <w:r>
        <w:t>prigovori i odluke</w:t>
      </w:r>
    </w:p>
    <w:p>
      <w:pPr>
        <w:pStyle w:val="ListBullet"/>
        <w:spacing w:after="80"/>
      </w:pPr>
      <w:r>
        <w:t>konačna i rezervna lista</w:t>
      </w:r>
    </w:p>
    <w:p>
      <w:pPr>
        <w:pStyle w:val="ListBullet"/>
        <w:spacing w:after="80"/>
      </w:pPr>
      <w:r>
        <w:t>potvrde prihvatanja/odustajanja</w:t>
      </w:r>
    </w:p>
    <w:p>
      <w:pPr>
        <w:pStyle w:val="Heading1"/>
        <w:spacing w:after="80"/>
      </w:pPr>
      <w:r>
        <w:t>Programski izvori</w:t>
      </w:r>
    </w:p>
    <w:p>
      <w:pPr>
        <w:pStyle w:val="ListBullet"/>
        <w:spacing w:after="80"/>
      </w:pPr>
      <w:r>
        <w:t>Erasmus+ Programme Guide 2026 – Mobility projects for higher education students and staff (KA131-HED / KA171-HED).</w:t>
      </w:r>
    </w:p>
    <w:p>
      <w:pPr>
        <w:pStyle w:val="ListBullet"/>
        <w:spacing w:after="80"/>
      </w:pPr>
      <w:r>
        <w:t>Erasmus Charter for Higher Education (ECHE) 2021–2027 i ECHE quality principles.</w:t>
      </w:r>
    </w:p>
    <w:p>
      <w:pPr>
        <w:pStyle w:val="ListBullet"/>
        <w:spacing w:after="80"/>
      </w:pPr>
      <w:r>
        <w:t>Erasmus+ Student Charter.</w:t>
      </w:r>
    </w:p>
    <w:p>
      <w:pPr>
        <w:pStyle w:val="ListBullet"/>
        <w:spacing w:after="80"/>
      </w:pPr>
      <w:r>
        <w:t>Važeći Learning Agreement obrasci i smernice za Studies i Traineeships (KA131/KA171).</w:t>
      </w:r>
    </w:p>
    <w:p>
      <w:pPr>
        <w:pStyle w:val="ListBullet"/>
        <w:spacing w:after="80"/>
      </w:pPr>
      <w:r>
        <w:t>Važeći Mobility Agreement obrasci za Staff Mobility for Teaching i Staff Mobility for Training.</w:t>
      </w:r>
    </w:p>
    <w:p>
      <w:pPr>
        <w:pStyle w:val="ListBullet"/>
        <w:spacing w:after="80"/>
      </w:pPr>
      <w:r>
        <w:t>Važeći Grant Agreement, Beneficiary Module pravila i nacionalna pravila Fondacije Tempus za konkretnu projektnu godinu.</w:t>
      </w:r>
    </w:p>
    <w:p>
      <w:pPr>
        <w:spacing w:after="80"/>
      </w:pPr>
      <w:r>
        <w:t>Promenljivi iznosi grantova, top-up podrške i putnih troškova ne utvrđuju se ovim dokumentom, već se primenjuju prema važećem projektu i pravilima za konkretnu godinu poziva.</w:t>
      </w:r>
    </w:p>
    <w:p>
      <w:pPr>
        <w:pStyle w:val="Heading1"/>
        <w:spacing w:after="80"/>
      </w:pPr>
      <w:r>
        <w:t>Pravilo o kriterijumima</w:t>
      </w:r>
    </w:p>
    <w:p>
      <w:pPr>
        <w:spacing w:after="80"/>
      </w:pPr>
      <w:r>
        <w:t>Kriterijumi za izbor i njihovi ponderi nisu unapred fiksirani ovim dokumentom. Oni se definišu svakim konkretnim konkursom. Komisija je dužna da u bodovnu listu prepiše tačne kriterijume i maksimalne bodove iz konkursa i ne može naknadno uvoditi nove kriterijume.</w:t>
      </w:r>
    </w:p>
    <w:p>
      <w:pPr>
        <w:spacing w:after="80"/>
      </w:pPr>
      <w:r>
        <w:br w:type="page"/>
      </w:r>
    </w:p>
    <w:p>
      <w:pPr>
        <w:spacing w:after="80"/>
      </w:pPr>
      <w:r>
        <w:t>Ovaj dokument se primenjuje zajedno sa važećim Erasmus+ Programme Guide 2026, ECHE principima, odgovarajućim Learning Agreement/Mobility Agreement obrascima, Grant Agreement-om konkretnog projekta i pravilima nadležne Nacionalne agencije. Ako se programsko pravilo promeni, primenjuje se važeće pravilo za godinu poziva/projekta.</w:t>
      </w:r>
    </w:p>
    <w:p>
      <w:pPr>
        <w:pStyle w:val="Heading1"/>
        <w:spacing w:after="80"/>
      </w:pPr>
      <w:r>
        <w:t>Programski osnov i važenje pravila</w:t>
      </w:r>
    </w:p>
    <w:p>
      <w:pPr/>
      <w:r>
        <w:t>Institucionalni kontinuitet Melius Academy potiče od Akademije za poslovnu ekonomiju u Čačku. Ustanova je poslovala pod tim nazivom i imala dozvolu za rad još od 2009. godine. Tokom 2026. sprovedena je promena sedišta i naziva: u maju 2026. javno je najavljena promena sedišta iz Čačka u Beograd i novi naziv „Melius Academy“, u julu 2026. objavljeno je rešenje o promeni naziva i sedišta, a zatim i nova dozvola za rad Ministarstva prosvete za Visoku školu akademskih studija „Melius Academy“ sa sedištem u Beogradu. Ova promena predstavlja nastavak rada iste visokoškolske ustanove pod novim identitetom i na novom sedištu, a ne osnivanje potpuno nove ustanove.</w:t>
      </w:r>
    </w:p>
    <w:p>
      <w:pPr/>
      <w:r>
        <w:t>Visoka škola akademskih studija „Melius Academy“ je visokoškolska ustanova akademskih studija sa sedištem u Beogradu, Trešnjin cvet 11. U Erasmus+ dokumentaciji ustanova koristi naziv Melius Academy. Redovna nastava se izvodi na srpskom jeziku. Za dolazne Erasmus+ studente moguće je, uz prethodni dogovor sa Erasmus+/međunarodnim koordinatorom, nadležnim nastavnikom i odgovarajućom organizacionom jedinicom, organizovati podršku na engleskom jeziku, uključujući pojašnjenja, odabrane materijale na engleskom ili prevodilačku/jezičku podršku kada je to akademski i organizaciono izvodljivo. Takva podrška nije automatski garantovana za svaki predmet i treba da bude dogovorena pre konačnog odobravanja Learning Agreement-a.</w:t>
      </w:r>
    </w:p>
    <w:p>
      <w:pPr>
        <w:pStyle w:val="Heading1"/>
      </w:pPr>
      <w:r>
        <w:t>Institucionalni profil i kontinuitet</w:t>
      </w:r>
    </w:p>
    <w:p>
      <w:pPr>
        <w:spacing w:after="80"/>
        <w:jc w:val="center"/>
      </w:pPr>
      <w:r>
        <w:rPr>
          <w:b/>
          <w:color w:val="B4B4B4"/>
          <w:sz w:val="60"/>
        </w:rPr>
        <w:t>PRIMER / EXAMPLE</w:t>
      </w:r>
    </w:p>
    <w:p>
      <w:pPr>
        <w:spacing w:after="80"/>
        <w:jc w:val="center"/>
      </w:pPr>
      <w:r>
        <w:rPr>
          <w:b/>
          <w:color w:val="B40000"/>
          <w:sz w:val="26"/>
        </w:rPr>
        <w:t>OBRISATI CELU OVU STRANICU PRE ZVANIČNE UPOTREBE</w:t>
      </w:r>
    </w:p>
    <w:p>
      <w:pPr>
        <w:pStyle w:val="Heading2"/>
        <w:spacing w:after="80"/>
      </w:pPr>
      <w:r>
        <w:t>Primer primene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Polje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Popunjen primer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Konkurs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KA131-HED SMS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Kriterijumi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Definisani i ponderisani u konkretnom konkursu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Bodovanje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Komisija prepisuje kriterijume u OB-ER-03 i boduje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Rezultat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Preliminarna lista → prigovor → konačna lista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B40000"/>
        </w:rPr>
        <w:t>OBRISATI CELU OVU STRANICU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">
    <w:name w:val="Article"/>
    <w:rPr>
      <w:rFonts w:ascii="Aptos" w:hAnsi="Aptos"/>
      <w:b/>
      <w:color w:val="122B38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