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jc w:val="center"/>
      </w:pPr>
      <w:r>
        <w:rPr>
          <w:color w:val="5A5A5A"/>
          <w:sz w:val="18"/>
        </w:rPr>
      </w:r>
    </w:p>
    <w:p>
      <w:pPr>
        <w:jc w:val="center"/>
      </w:pPr>
      <w:r>
        <w:t>Melius Academy, Belgrade</w:t>
      </w:r>
    </w:p>
    <w:p>
      <w:pPr>
        <w:jc w:val="center"/>
      </w:pPr>
      <w:r>
        <w:rPr>
          <w:b/>
          <w:color w:val="501214"/>
        </w:rPr>
        <w:t>Visoka škola akademskih studija „Melius Academy“ – Beograd</w:t>
      </w:r>
    </w:p>
    <w:p>
      <w:pPr>
        <w:spacing w:before="1800" w:after="80"/>
        <w:jc w:val="center"/>
      </w:pPr>
      <w:r>
        <w:rPr>
          <w:b/>
          <w:color w:val="122B38"/>
          <w:sz w:val="42"/>
        </w:rPr>
        <w:t>INCOMING STUDENT GUIDE AND FORMS</w:t>
      </w:r>
    </w:p>
    <w:p>
      <w:pPr>
        <w:spacing w:after="80"/>
        <w:jc w:val="center"/>
      </w:pPr>
      <w:r>
        <w:rPr>
          <w:i/>
          <w:sz w:val="22"/>
        </w:rPr>
        <w:t>KA131-HED / KA171-HED – studies, traineeships and BIP</w:t>
      </w:r>
    </w:p>
    <w:p>
      <w:pPr>
        <w:spacing w:after="80"/>
        <w:jc w:val="center"/>
      </w:pPr>
      <w:r>
        <w:rPr>
          <w:color w:val="646464"/>
          <w:sz w:val="20"/>
        </w:rPr>
        <w:t>Melius Academy | Erasmus+ Higher Education</w:t>
      </w:r>
    </w:p>
    <w:p>
      <w:pPr>
        <w:spacing w:after="80"/>
      </w:pPr>
      <w:r>
        <w:br w:type="page"/>
      </w:r>
    </w:p>
    <w:p>
      <w:pPr>
        <w:pStyle w:val="Heading1"/>
        <w:spacing w:after="80"/>
      </w:pPr>
      <w:r>
        <w:t>Legend of abbreviations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Abbreviation</w:t>
            </w:r>
          </w:p>
        </w:tc>
        <w:tc>
          <w:tcPr>
            <w:tcW w:type="dxa" w:w="5083"/>
            <w:shd w:fill="E8F0F5"/>
          </w:tcPr>
          <w:p>
            <w:r>
              <w:rPr>
                <w:b/>
                <w:sz w:val="18"/>
              </w:rPr>
              <w:t>Meaning</w:t>
            </w:r>
          </w:p>
        </w:tc>
      </w:tr>
      <w:tr>
        <w:tc>
          <w:tcPr>
            <w:tcW w:type="dxa" w:w="5083"/>
            <w:vAlign w:val="center"/>
          </w:tcPr>
          <w:p>
            <w:r>
              <w:rPr>
                <w:sz w:val="18"/>
              </w:rPr>
              <w:t>SMS</w:t>
            </w:r>
          </w:p>
        </w:tc>
        <w:tc>
          <w:tcPr>
            <w:tcW w:type="dxa" w:w="5083"/>
            <w:vAlign w:val="center"/>
          </w:tcPr>
          <w:p>
            <w:r>
              <w:rPr>
                <w:sz w:val="18"/>
              </w:rPr>
              <w:t>Student Mobility for Studies</w:t>
            </w:r>
          </w:p>
        </w:tc>
      </w:tr>
      <w:tr>
        <w:tc>
          <w:tcPr>
            <w:tcW w:type="dxa" w:w="5083"/>
            <w:vAlign w:val="center"/>
          </w:tcPr>
          <w:p>
            <w:r>
              <w:rPr>
                <w:sz w:val="18"/>
              </w:rPr>
              <w:t>SMT</w:t>
            </w:r>
          </w:p>
        </w:tc>
        <w:tc>
          <w:tcPr>
            <w:tcW w:type="dxa" w:w="5083"/>
            <w:vAlign w:val="center"/>
          </w:tcPr>
          <w:p>
            <w:r>
              <w:rPr>
                <w:sz w:val="18"/>
              </w:rPr>
              <w:t>Student Mobility for Traineeships</w:t>
            </w:r>
          </w:p>
        </w:tc>
      </w:tr>
      <w:tr>
        <w:tc>
          <w:tcPr>
            <w:tcW w:type="dxa" w:w="5083"/>
            <w:vAlign w:val="center"/>
          </w:tcPr>
          <w:p>
            <w:r>
              <w:rPr>
                <w:sz w:val="18"/>
              </w:rPr>
              <w:t>STA</w:t>
            </w:r>
          </w:p>
        </w:tc>
        <w:tc>
          <w:tcPr>
            <w:tcW w:type="dxa" w:w="5083"/>
            <w:vAlign w:val="center"/>
          </w:tcPr>
          <w:p>
            <w:r>
              <w:rPr>
                <w:sz w:val="18"/>
              </w:rPr>
              <w:t>Staff Mobility for Teaching</w:t>
            </w:r>
          </w:p>
        </w:tc>
      </w:tr>
      <w:tr>
        <w:tc>
          <w:tcPr>
            <w:tcW w:type="dxa" w:w="5083"/>
            <w:vAlign w:val="center"/>
          </w:tcPr>
          <w:p>
            <w:r>
              <w:rPr>
                <w:sz w:val="18"/>
              </w:rPr>
              <w:t>STT</w:t>
            </w:r>
          </w:p>
        </w:tc>
        <w:tc>
          <w:tcPr>
            <w:tcW w:type="dxa" w:w="5083"/>
            <w:vAlign w:val="center"/>
          </w:tcPr>
          <w:p>
            <w:r>
              <w:rPr>
                <w:sz w:val="18"/>
              </w:rPr>
              <w:t>Staff Mobility for Training</w:t>
            </w:r>
          </w:p>
        </w:tc>
      </w:tr>
      <w:tr>
        <w:tc>
          <w:tcPr>
            <w:tcW w:type="dxa" w:w="5083"/>
            <w:vAlign w:val="center"/>
          </w:tcPr>
          <w:p>
            <w:r>
              <w:rPr>
                <w:sz w:val="18"/>
              </w:rPr>
              <w:t>BIP</w:t>
            </w:r>
          </w:p>
        </w:tc>
        <w:tc>
          <w:tcPr>
            <w:tcW w:type="dxa" w:w="5083"/>
            <w:vAlign w:val="center"/>
          </w:tcPr>
          <w:p>
            <w:r>
              <w:rPr>
                <w:sz w:val="18"/>
              </w:rPr>
              <w:t>Blended Intensive Programme</w:t>
            </w:r>
          </w:p>
        </w:tc>
      </w:tr>
      <w:tr>
        <w:tc>
          <w:tcPr>
            <w:tcW w:type="dxa" w:w="5083"/>
            <w:vAlign w:val="center"/>
          </w:tcPr>
          <w:p>
            <w:r>
              <w:rPr>
                <w:sz w:val="18"/>
              </w:rPr>
              <w:t>ECTS</w:t>
            </w:r>
          </w:p>
        </w:tc>
        <w:tc>
          <w:tcPr>
            <w:tcW w:type="dxa" w:w="5083"/>
            <w:vAlign w:val="center"/>
          </w:tcPr>
          <w:p>
            <w:r>
              <w:rPr>
                <w:sz w:val="18"/>
              </w:rPr>
              <w:t>European Credit Transfer and Accumulation System</w:t>
            </w:r>
          </w:p>
        </w:tc>
      </w:tr>
      <w:tr>
        <w:tc>
          <w:tcPr>
            <w:tcW w:type="dxa" w:w="5083"/>
            <w:vAlign w:val="center"/>
          </w:tcPr>
          <w:p>
            <w:r>
              <w:rPr>
                <w:sz w:val="18"/>
              </w:rPr>
              <w:t>LA</w:t>
            </w:r>
          </w:p>
        </w:tc>
        <w:tc>
          <w:tcPr>
            <w:tcW w:type="dxa" w:w="5083"/>
            <w:vAlign w:val="center"/>
          </w:tcPr>
          <w:p>
            <w:r>
              <w:rPr>
                <w:sz w:val="18"/>
              </w:rPr>
              <w:t>Learning Agreement</w:t>
            </w:r>
          </w:p>
        </w:tc>
      </w:tr>
      <w:tr>
        <w:tc>
          <w:tcPr>
            <w:tcW w:type="dxa" w:w="5083"/>
            <w:vAlign w:val="center"/>
          </w:tcPr>
          <w:p>
            <w:r>
              <w:rPr>
                <w:sz w:val="18"/>
              </w:rPr>
              <w:t>MA</w:t>
            </w:r>
          </w:p>
        </w:tc>
        <w:tc>
          <w:tcPr>
            <w:tcW w:type="dxa" w:w="5083"/>
            <w:vAlign w:val="center"/>
          </w:tcPr>
          <w:p>
            <w:r>
              <w:rPr>
                <w:sz w:val="18"/>
              </w:rPr>
              <w:t>Mobility Agreement</w:t>
            </w:r>
          </w:p>
        </w:tc>
      </w:tr>
      <w:tr>
        <w:tc>
          <w:tcPr>
            <w:tcW w:type="dxa" w:w="5083"/>
            <w:vAlign w:val="center"/>
          </w:tcPr>
          <w:p>
            <w:r>
              <w:rPr>
                <w:sz w:val="18"/>
              </w:rPr>
              <w:t>IIA</w:t>
            </w:r>
          </w:p>
        </w:tc>
        <w:tc>
          <w:tcPr>
            <w:tcW w:type="dxa" w:w="5083"/>
            <w:vAlign w:val="center"/>
          </w:tcPr>
          <w:p>
            <w:r>
              <w:rPr>
                <w:sz w:val="18"/>
              </w:rPr>
              <w:t>Inter-Institutional Agreement</w:t>
            </w:r>
          </w:p>
        </w:tc>
      </w:tr>
      <w:tr>
        <w:tc>
          <w:tcPr>
            <w:tcW w:type="dxa" w:w="5083"/>
            <w:vAlign w:val="center"/>
          </w:tcPr>
          <w:p>
            <w:r>
              <w:rPr>
                <w:sz w:val="18"/>
              </w:rPr>
              <w:t>HEI</w:t>
            </w:r>
          </w:p>
        </w:tc>
        <w:tc>
          <w:tcPr>
            <w:tcW w:type="dxa" w:w="5083"/>
            <w:vAlign w:val="center"/>
          </w:tcPr>
          <w:p>
            <w:r>
              <w:rPr>
                <w:sz w:val="18"/>
              </w:rPr>
              <w:t>Higher Education Institution</w:t>
            </w:r>
          </w:p>
        </w:tc>
      </w:tr>
      <w:tr>
        <w:tc>
          <w:tcPr>
            <w:tcW w:type="dxa" w:w="5083"/>
            <w:vAlign w:val="center"/>
          </w:tcPr>
          <w:p>
            <w:r>
              <w:rPr>
                <w:sz w:val="18"/>
              </w:rPr>
              <w:t>ECHE</w:t>
            </w:r>
          </w:p>
        </w:tc>
        <w:tc>
          <w:tcPr>
            <w:tcW w:type="dxa" w:w="5083"/>
            <w:vAlign w:val="center"/>
          </w:tcPr>
          <w:p>
            <w:r>
              <w:rPr>
                <w:sz w:val="18"/>
              </w:rPr>
              <w:t>Erasmus Charter for Higher Education</w:t>
            </w:r>
          </w:p>
        </w:tc>
      </w:tr>
      <w:tr>
        <w:tc>
          <w:tcPr>
            <w:tcW w:type="dxa" w:w="5083"/>
            <w:vAlign w:val="center"/>
          </w:tcPr>
          <w:p>
            <w:r>
              <w:rPr>
                <w:sz w:val="18"/>
              </w:rPr>
              <w:t>EWP</w:t>
            </w:r>
          </w:p>
        </w:tc>
        <w:tc>
          <w:tcPr>
            <w:tcW w:type="dxa" w:w="5083"/>
            <w:vAlign w:val="center"/>
          </w:tcPr>
          <w:p>
            <w:r>
              <w:rPr>
                <w:sz w:val="18"/>
              </w:rPr>
              <w:t>Erasmus Without Paper</w:t>
            </w:r>
          </w:p>
        </w:tc>
      </w:tr>
    </w:tbl>
    <w:p>
      <w:pPr>
        <w:spacing w:after="80"/>
      </w:pPr>
    </w:p>
    <w:p>
      <w:pPr>
        <w:pStyle w:val="Heading1"/>
        <w:spacing w:after="80"/>
      </w:pPr>
      <w:r>
        <w:t>1. Welcome to Melius Academy</w:t>
      </w:r>
    </w:p>
    <w:p>
      <w:pPr>
        <w:spacing w:after="80"/>
      </w:pPr>
      <w:r>
        <w:t>This guide explains the standard process for incoming Erasmus+ students coming to Melius Academy for studies, traineeships or participation in an eligible blended mobility/BIP arrangement. It should be read together with the student’s Learning Agreement, the Erasmus+ Student Charter and the instructions of the sending institution.</w:t>
      </w:r>
    </w:p>
    <w:p>
      <w:pPr>
        <w:pStyle w:val="Heading1"/>
        <w:spacing w:after="80"/>
      </w:pPr>
      <w:r>
        <w:t>2. Language of instruction</w:t>
      </w:r>
    </w:p>
    <w:p>
      <w:pPr>
        <w:spacing w:after="80"/>
      </w:pPr>
      <w:r>
        <w:rPr>
          <w:b/>
        </w:rPr>
        <w:t xml:space="preserve">IMPORTANT: </w:t>
      </w:r>
      <w:r>
        <w:t>Regular Melius Academy study programmes and courses are delivered in Serbian. The English Course Catalogue is provided for transparency, mobility planning and academic recognition. Incoming students must confirm that the selected educational components are realistically accessible to them before the Learning Agreement is approved.</w:t>
      </w:r>
    </w:p>
    <w:p>
      <w:pPr>
        <w:pStyle w:val="Heading1"/>
        <w:spacing w:after="80"/>
      </w:pPr>
      <w:r>
        <w:t>3. Before nomination</w:t>
      </w:r>
    </w:p>
    <w:p>
      <w:pPr>
        <w:pStyle w:val="ListBullet"/>
        <w:spacing w:after="80"/>
      </w:pPr>
      <w:r>
        <w:t>Check whether your home institution has a valid Erasmus+ cooperation arrangement with Melius Academy for your field and mobility type.</w:t>
      </w:r>
    </w:p>
    <w:p>
      <w:pPr>
        <w:pStyle w:val="ListBullet"/>
        <w:spacing w:after="80"/>
      </w:pPr>
      <w:r>
        <w:t>Check the semester, academic calendar, language of instruction and course availability.</w:t>
      </w:r>
    </w:p>
    <w:p>
      <w:pPr>
        <w:pStyle w:val="ListBullet"/>
        <w:spacing w:after="80"/>
      </w:pPr>
      <w:r>
        <w:t>Discuss academic recognition with your home institution before selecting courses.</w:t>
      </w:r>
    </w:p>
    <w:p>
      <w:pPr>
        <w:pStyle w:val="Heading1"/>
        <w:spacing w:after="80"/>
      </w:pPr>
      <w:r>
        <w:t>4. Nomination and application</w:t>
      </w:r>
    </w:p>
    <w:p>
      <w:pPr>
        <w:pStyle w:val="Heading3"/>
        <w:spacing w:after="80"/>
      </w:pPr>
      <w:r>
        <w:t>Standard process</w:t>
      </w:r>
    </w:p>
    <w:p>
      <w:pPr>
        <w:spacing w:after="80"/>
      </w:pPr>
      <w:r>
        <w:rPr>
          <w:b/>
        </w:rPr>
        <w:t xml:space="preserve">Korak 1. </w:t>
      </w:r>
      <w:r>
        <w:t>Your home institution sends an official nomination to Melius Academy.</w:t>
      </w:r>
    </w:p>
    <w:p>
      <w:pPr>
        <w:spacing w:after="80"/>
      </w:pPr>
      <w:r>
        <w:rPr>
          <w:b/>
        </w:rPr>
        <w:t xml:space="preserve">Korak 2. </w:t>
      </w:r>
      <w:r>
        <w:t>Melius Academy checks the agreement, mobility type, field, quota and semester.</w:t>
      </w:r>
    </w:p>
    <w:p>
      <w:pPr>
        <w:spacing w:after="80"/>
      </w:pPr>
      <w:r>
        <w:rPr>
          <w:b/>
        </w:rPr>
        <w:t xml:space="preserve">Korak 3. </w:t>
      </w:r>
      <w:r>
        <w:t>You receive the application instructions and Course Catalogue.</w:t>
      </w:r>
    </w:p>
    <w:p>
      <w:pPr>
        <w:spacing w:after="80"/>
      </w:pPr>
      <w:r>
        <w:rPr>
          <w:b/>
        </w:rPr>
        <w:t xml:space="preserve">Korak 4. </w:t>
      </w:r>
      <w:r>
        <w:t>You submit the requested application documents.</w:t>
      </w:r>
    </w:p>
    <w:p>
      <w:pPr>
        <w:spacing w:after="80"/>
      </w:pPr>
      <w:r>
        <w:rPr>
          <w:b/>
        </w:rPr>
        <w:t xml:space="preserve">Korak 5. </w:t>
      </w:r>
      <w:r>
        <w:t>The relevant Melius Academy department checks course availability and academic feasibility.</w:t>
      </w:r>
    </w:p>
    <w:p>
      <w:pPr>
        <w:spacing w:after="80"/>
      </w:pPr>
      <w:r>
        <w:rPr>
          <w:b/>
        </w:rPr>
        <w:t xml:space="preserve">Korak 6. </w:t>
      </w:r>
      <w:r>
        <w:t>The Learning Agreement is agreed by the student, sending institution and Melius Academy.</w:t>
      </w:r>
    </w:p>
    <w:p>
      <w:pPr>
        <w:spacing w:after="80"/>
      </w:pPr>
      <w:r>
        <w:rPr>
          <w:b/>
        </w:rPr>
        <w:t xml:space="preserve">Korak 7. </w:t>
      </w:r>
      <w:r>
        <w:t>Melius Academy issues an acceptance/confirmation document when required.</w:t>
      </w:r>
    </w:p>
    <w:p>
      <w:pPr>
        <w:pStyle w:val="Heading1"/>
        <w:spacing w:after="80"/>
      </w:pPr>
      <w:r>
        <w:t>5. Studies mobility</w:t>
      </w:r>
    </w:p>
    <w:p>
      <w:pPr>
        <w:spacing w:after="80"/>
      </w:pPr>
      <w:r>
        <w:t>For studies mobility, the Learning Agreement for Studies defines the courses/educational components to be taken at Melius Academy. Any later change must be academically justified and approved by all three parties. After the mobility, Melius Academy issues a Transcript of Records showing the completed components, grades and ECTS.</w:t>
      </w:r>
    </w:p>
    <w:p>
      <w:pPr>
        <w:pStyle w:val="Heading1"/>
        <w:spacing w:after="80"/>
      </w:pPr>
      <w:r>
        <w:t>6. Traineeship mobility</w:t>
      </w:r>
    </w:p>
    <w:p>
      <w:pPr>
        <w:spacing w:after="80"/>
      </w:pPr>
      <w:r>
        <w:t>For a traineeship, the Learning Agreement for Traineeships defines the tasks, learning outcomes, monitoring, mentoring and evaluation method. At the end of the placement, Melius Academy or the host unit issues a Traineeship Certificate.</w:t>
      </w:r>
    </w:p>
    <w:p>
      <w:pPr>
        <w:pStyle w:val="Heading1"/>
        <w:spacing w:after="80"/>
      </w:pPr>
      <w:r>
        <w:t>7. Blended mobility / BIP</w:t>
      </w:r>
    </w:p>
    <w:p>
      <w:pPr>
        <w:spacing w:after="80"/>
      </w:pPr>
      <w:r>
        <w:t>For a student BIP, the physical mobility component lasts 5–30 days and is combined with a compulsory virtual component. Successful participation must award at least 3 ECTS. Your home institution should confirm in advance how these credits will be recognised.</w:t>
      </w:r>
    </w:p>
    <w:p>
      <w:pPr>
        <w:pStyle w:val="Heading1"/>
        <w:spacing w:after="80"/>
      </w:pPr>
      <w:r>
        <w:t>8. Visa, residence and insurance</w:t>
      </w:r>
    </w:p>
    <w:p>
      <w:pPr>
        <w:spacing w:after="80"/>
      </w:pPr>
      <w:r>
        <w:t>Students are responsible for checking entry, visa and residence requirements applicable to their citizenship and mobility duration. Melius Academy provides institutional acceptance/invitation documents within its competence. Students must maintain appropriate health insurance; trainees may also need accident and liability insurance depending on the placement.</w:t>
      </w:r>
    </w:p>
    <w:p>
      <w:pPr>
        <w:pStyle w:val="Heading1"/>
        <w:spacing w:after="80"/>
      </w:pPr>
      <w:r>
        <w:t>9. Arrival and registration</w:t>
      </w:r>
    </w:p>
    <w:p>
      <w:pPr>
        <w:pStyle w:val="ListBullet"/>
        <w:spacing w:after="80"/>
      </w:pPr>
      <w:r>
        <w:t>Contact the Erasmus/International Office after arrival.</w:t>
      </w:r>
    </w:p>
    <w:p>
      <w:pPr>
        <w:pStyle w:val="ListBullet"/>
        <w:spacing w:after="80"/>
      </w:pPr>
      <w:r>
        <w:t>Present the requested identification and mobility documents.</w:t>
      </w:r>
    </w:p>
    <w:p>
      <w:pPr>
        <w:pStyle w:val="ListBullet"/>
        <w:spacing w:after="80"/>
      </w:pPr>
      <w:r>
        <w:t>Receive academic and practical orientation.</w:t>
      </w:r>
    </w:p>
    <w:p>
      <w:pPr>
        <w:pStyle w:val="ListBullet"/>
        <w:spacing w:after="80"/>
      </w:pPr>
      <w:r>
        <w:t>Confirm the timetable and contact person.</w:t>
      </w:r>
    </w:p>
    <w:p>
      <w:pPr>
        <w:pStyle w:val="ListBullet"/>
        <w:spacing w:after="80"/>
      </w:pPr>
      <w:r>
        <w:t>Report any serious problem or necessary Learning Agreement change without delay.</w:t>
      </w:r>
    </w:p>
    <w:p>
      <w:pPr>
        <w:pStyle w:val="Heading1"/>
        <w:spacing w:after="80"/>
      </w:pPr>
      <w:r>
        <w:t>10. During the mobility</w:t>
      </w:r>
    </w:p>
    <w:p>
      <w:pPr>
        <w:pStyle w:val="ListBullet"/>
        <w:spacing w:after="80"/>
      </w:pPr>
      <w:r>
        <w:t>Attend the agreed academic/traineeship activities.</w:t>
      </w:r>
    </w:p>
    <w:p>
      <w:pPr>
        <w:pStyle w:val="ListBullet"/>
        <w:spacing w:after="80"/>
      </w:pPr>
      <w:r>
        <w:t>Respect Melius Academy academic integrity and conduct rules.</w:t>
      </w:r>
    </w:p>
    <w:p>
      <w:pPr>
        <w:pStyle w:val="ListBullet"/>
        <w:spacing w:after="80"/>
      </w:pPr>
      <w:r>
        <w:t>Keep your contact details updated.</w:t>
      </w:r>
    </w:p>
    <w:p>
      <w:pPr>
        <w:pStyle w:val="ListBullet"/>
        <w:spacing w:after="80"/>
      </w:pPr>
      <w:r>
        <w:t>Do not change courses or traineeship tasks without approval.</w:t>
      </w:r>
    </w:p>
    <w:p>
      <w:pPr>
        <w:pStyle w:val="ListBullet"/>
        <w:spacing w:after="80"/>
      </w:pPr>
      <w:r>
        <w:t>Keep evidence of your mobility period and completion documents.</w:t>
      </w:r>
    </w:p>
    <w:p>
      <w:pPr>
        <w:pStyle w:val="Heading1"/>
        <w:spacing w:after="80"/>
      </w:pPr>
      <w:r>
        <w:t>11. Before departure</w:t>
      </w:r>
    </w:p>
    <w:p>
      <w:pPr>
        <w:pStyle w:val="ListBullet"/>
        <w:spacing w:after="80"/>
      </w:pPr>
      <w:r>
        <w:t>Check that all grades/results have been recorded.</w:t>
      </w:r>
    </w:p>
    <w:p>
      <w:pPr>
        <w:pStyle w:val="ListBullet"/>
        <w:spacing w:after="80"/>
      </w:pPr>
      <w:r>
        <w:t>Request the Transcript of Records or Traineeship Certificate.</w:t>
      </w:r>
    </w:p>
    <w:p>
      <w:pPr>
        <w:pStyle w:val="ListBullet"/>
        <w:spacing w:after="80"/>
      </w:pPr>
      <w:r>
        <w:t>Request a Confirmation of Stay if required by your sending institution.</w:t>
      </w:r>
    </w:p>
    <w:p>
      <w:pPr>
        <w:pStyle w:val="ListBullet"/>
        <w:spacing w:after="80"/>
      </w:pPr>
      <w:r>
        <w:t>Complete any institutional evaluation or Erasmus reporting requested from you.</w:t>
      </w:r>
    </w:p>
    <w:p>
      <w:pPr>
        <w:spacing w:after="80"/>
      </w:pPr>
      <w:r>
        <w:br w:type="page"/>
      </w:r>
    </w:p>
    <w:p>
      <w:pPr>
        <w:pStyle w:val="Heading1"/>
        <w:spacing w:after="80"/>
      </w:pPr>
      <w:r>
        <w:t>FORM 1 – INCOMING STUDENT APPLICATION FORM</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D9EAF7"/>
          </w:tcPr>
          <w:p>
            <w:r>
              <w:rPr>
                <w:b/>
                <w:sz w:val="18"/>
              </w:rPr>
              <w:t>Field</w:t>
            </w:r>
          </w:p>
        </w:tc>
        <w:tc>
          <w:tcPr>
            <w:tcW w:type="dxa" w:w="5083"/>
            <w:shd w:fill="D9EAF7"/>
          </w:tcPr>
          <w:p>
            <w:r>
              <w:rPr>
                <w:b/>
                <w:sz w:val="18"/>
              </w:rPr>
              <w:t>Information</w:t>
            </w:r>
          </w:p>
        </w:tc>
      </w:tr>
      <w:tr>
        <w:tc>
          <w:tcPr>
            <w:tcW w:type="dxa" w:w="5083"/>
            <w:vAlign w:val="center"/>
          </w:tcPr>
          <w:p>
            <w:r>
              <w:t>Full name</w:t>
            </w:r>
          </w:p>
        </w:tc>
        <w:tc>
          <w:tcPr>
            <w:tcW w:type="dxa" w:w="5083"/>
            <w:vAlign w:val="center"/>
          </w:tcPr>
          <w:p>
            <w:r/>
          </w:p>
        </w:tc>
      </w:tr>
      <w:tr>
        <w:tc>
          <w:tcPr>
            <w:tcW w:type="dxa" w:w="5083"/>
            <w:vAlign w:val="center"/>
          </w:tcPr>
          <w:p>
            <w:r>
              <w:t>Date of birth</w:t>
            </w:r>
          </w:p>
        </w:tc>
        <w:tc>
          <w:tcPr>
            <w:tcW w:type="dxa" w:w="5083"/>
            <w:vAlign w:val="center"/>
          </w:tcPr>
          <w:p>
            <w:r/>
          </w:p>
        </w:tc>
      </w:tr>
      <w:tr>
        <w:tc>
          <w:tcPr>
            <w:tcW w:type="dxa" w:w="5083"/>
            <w:vAlign w:val="center"/>
          </w:tcPr>
          <w:p>
            <w:r>
              <w:t>Nationality</w:t>
            </w:r>
          </w:p>
        </w:tc>
        <w:tc>
          <w:tcPr>
            <w:tcW w:type="dxa" w:w="5083"/>
            <w:vAlign w:val="center"/>
          </w:tcPr>
          <w:p>
            <w:r/>
          </w:p>
        </w:tc>
      </w:tr>
      <w:tr>
        <w:tc>
          <w:tcPr>
            <w:tcW w:type="dxa" w:w="5083"/>
            <w:vAlign w:val="center"/>
          </w:tcPr>
          <w:p>
            <w:r>
              <w:t>Home institution</w:t>
            </w:r>
          </w:p>
        </w:tc>
        <w:tc>
          <w:tcPr>
            <w:tcW w:type="dxa" w:w="5083"/>
            <w:vAlign w:val="center"/>
          </w:tcPr>
          <w:p>
            <w:r/>
          </w:p>
        </w:tc>
      </w:tr>
      <w:tr>
        <w:tc>
          <w:tcPr>
            <w:tcW w:type="dxa" w:w="5083"/>
            <w:vAlign w:val="center"/>
          </w:tcPr>
          <w:p>
            <w:r>
              <w:t>Country</w:t>
            </w:r>
          </w:p>
        </w:tc>
        <w:tc>
          <w:tcPr>
            <w:tcW w:type="dxa" w:w="5083"/>
            <w:vAlign w:val="center"/>
          </w:tcPr>
          <w:p>
            <w:r/>
          </w:p>
        </w:tc>
      </w:tr>
      <w:tr>
        <w:tc>
          <w:tcPr>
            <w:tcW w:type="dxa" w:w="5083"/>
            <w:vAlign w:val="center"/>
          </w:tcPr>
          <w:p>
            <w:r>
              <w:t>E-mail</w:t>
            </w:r>
          </w:p>
        </w:tc>
        <w:tc>
          <w:tcPr>
            <w:tcW w:type="dxa" w:w="5083"/>
            <w:vAlign w:val="center"/>
          </w:tcPr>
          <w:p>
            <w:r/>
          </w:p>
        </w:tc>
      </w:tr>
      <w:tr>
        <w:tc>
          <w:tcPr>
            <w:tcW w:type="dxa" w:w="5083"/>
            <w:vAlign w:val="center"/>
          </w:tcPr>
          <w:p>
            <w:r>
              <w:t>Phone</w:t>
            </w:r>
          </w:p>
        </w:tc>
        <w:tc>
          <w:tcPr>
            <w:tcW w:type="dxa" w:w="5083"/>
            <w:vAlign w:val="center"/>
          </w:tcPr>
          <w:p>
            <w:r/>
          </w:p>
        </w:tc>
      </w:tr>
      <w:tr>
        <w:tc>
          <w:tcPr>
            <w:tcW w:type="dxa" w:w="5083"/>
            <w:vAlign w:val="center"/>
          </w:tcPr>
          <w:p>
            <w:r>
              <w:t>Study cycle</w:t>
            </w:r>
          </w:p>
        </w:tc>
        <w:tc>
          <w:tcPr>
            <w:tcW w:type="dxa" w:w="5083"/>
            <w:vAlign w:val="center"/>
          </w:tcPr>
          <w:p>
            <w:r/>
          </w:p>
        </w:tc>
      </w:tr>
      <w:tr>
        <w:tc>
          <w:tcPr>
            <w:tcW w:type="dxa" w:w="5083"/>
            <w:vAlign w:val="center"/>
          </w:tcPr>
          <w:p>
            <w:r>
              <w:t>Study programme</w:t>
            </w:r>
          </w:p>
        </w:tc>
        <w:tc>
          <w:tcPr>
            <w:tcW w:type="dxa" w:w="5083"/>
            <w:vAlign w:val="center"/>
          </w:tcPr>
          <w:p>
            <w:r/>
          </w:p>
        </w:tc>
      </w:tr>
      <w:tr>
        <w:tc>
          <w:tcPr>
            <w:tcW w:type="dxa" w:w="5083"/>
            <w:vAlign w:val="center"/>
          </w:tcPr>
          <w:p>
            <w:r>
              <w:t>Mobility type: Studies / Traineeship / BIP</w:t>
            </w:r>
          </w:p>
        </w:tc>
        <w:tc>
          <w:tcPr>
            <w:tcW w:type="dxa" w:w="5083"/>
            <w:vAlign w:val="center"/>
          </w:tcPr>
          <w:p>
            <w:r/>
          </w:p>
        </w:tc>
      </w:tr>
      <w:tr>
        <w:tc>
          <w:tcPr>
            <w:tcW w:type="dxa" w:w="5083"/>
            <w:vAlign w:val="center"/>
          </w:tcPr>
          <w:p>
            <w:r>
              <w:t>Erasmus action: KA131 / KA171</w:t>
            </w:r>
          </w:p>
        </w:tc>
        <w:tc>
          <w:tcPr>
            <w:tcW w:type="dxa" w:w="5083"/>
            <w:vAlign w:val="center"/>
          </w:tcPr>
          <w:p>
            <w:r/>
          </w:p>
        </w:tc>
      </w:tr>
      <w:tr>
        <w:tc>
          <w:tcPr>
            <w:tcW w:type="dxa" w:w="5083"/>
            <w:vAlign w:val="center"/>
          </w:tcPr>
          <w:p>
            <w:r>
              <w:t>Planned start date</w:t>
            </w:r>
          </w:p>
        </w:tc>
        <w:tc>
          <w:tcPr>
            <w:tcW w:type="dxa" w:w="5083"/>
            <w:vAlign w:val="center"/>
          </w:tcPr>
          <w:p>
            <w:r/>
          </w:p>
        </w:tc>
      </w:tr>
      <w:tr>
        <w:tc>
          <w:tcPr>
            <w:tcW w:type="dxa" w:w="5083"/>
            <w:vAlign w:val="center"/>
          </w:tcPr>
          <w:p>
            <w:r>
              <w:t>Planned end date</w:t>
            </w:r>
          </w:p>
        </w:tc>
        <w:tc>
          <w:tcPr>
            <w:tcW w:type="dxa" w:w="5083"/>
            <w:vAlign w:val="center"/>
          </w:tcPr>
          <w:p>
            <w:r/>
          </w:p>
        </w:tc>
      </w:tr>
      <w:tr>
        <w:tc>
          <w:tcPr>
            <w:tcW w:type="dxa" w:w="5083"/>
            <w:vAlign w:val="center"/>
          </w:tcPr>
          <w:p>
            <w:r>
              <w:t>Emergency contact</w:t>
            </w:r>
          </w:p>
        </w:tc>
        <w:tc>
          <w:tcPr>
            <w:tcW w:type="dxa" w:w="5083"/>
            <w:vAlign w:val="center"/>
          </w:tcPr>
          <w:p>
            <w:r/>
          </w:p>
        </w:tc>
      </w:tr>
      <w:tr>
        <w:tc>
          <w:tcPr>
            <w:tcW w:type="dxa" w:w="5083"/>
            <w:vAlign w:val="center"/>
          </w:tcPr>
          <w:p>
            <w:r>
              <w:t>Special support/accessibility needs (optional)</w:t>
            </w:r>
          </w:p>
        </w:tc>
        <w:tc>
          <w:tcPr>
            <w:tcW w:type="dxa" w:w="5083"/>
            <w:vAlign w:val="center"/>
          </w:tcPr>
          <w:p>
            <w:r/>
          </w:p>
        </w:tc>
      </w:tr>
    </w:tbl>
    <w:p>
      <w:pPr>
        <w:pStyle w:val="Heading2"/>
        <w:spacing w:after="80"/>
      </w:pPr>
      <w:r>
        <w:t>Documents attached</w:t>
      </w:r>
    </w:p>
    <w:p>
      <w:pPr>
        <w:spacing w:after="80"/>
      </w:pPr>
      <w:r>
        <w:t>☐ Nomination confirmation</w:t>
      </w:r>
    </w:p>
    <w:p>
      <w:pPr>
        <w:spacing w:after="80"/>
      </w:pPr>
      <w:r>
        <w:t>☐ Transcript of Records</w:t>
      </w:r>
    </w:p>
    <w:p>
      <w:pPr>
        <w:spacing w:after="80"/>
      </w:pPr>
      <w:r>
        <w:t>☐ Learning Agreement draft</w:t>
      </w:r>
    </w:p>
    <w:p>
      <w:pPr>
        <w:spacing w:after="80"/>
      </w:pPr>
      <w:r>
        <w:t>☐ Copy of ID/passport if required</w:t>
      </w:r>
    </w:p>
    <w:p>
      <w:pPr>
        <w:spacing w:after="80"/>
      </w:pPr>
      <w:r>
        <w:t>☐ Language evidence if specifically required</w:t>
      </w:r>
    </w:p>
    <w:p>
      <w:pPr>
        <w:spacing w:after="80"/>
      </w:pPr>
      <w:r>
        <w:t>☐ Other supporting documents</w:t>
      </w:r>
    </w:p>
    <w:p>
      <w:pPr>
        <w:spacing w:after="80"/>
      </w:pPr>
      <w:r>
        <w:br w:type="page"/>
      </w:r>
    </w:p>
    <w:p>
      <w:pPr>
        <w:pStyle w:val="Heading1"/>
        <w:spacing w:after="80"/>
      </w:pPr>
      <w:r>
        <w:t>FORM 2 – ARRIVAL / REGISTRATION CHECKLIST</w:t>
      </w:r>
    </w:p>
    <w:p>
      <w:pPr>
        <w:spacing w:after="80"/>
      </w:pPr>
      <w:r>
        <w:t>☐ Identity checked</w:t>
      </w:r>
    </w:p>
    <w:p>
      <w:pPr>
        <w:spacing w:after="80"/>
      </w:pPr>
      <w:r>
        <w:t>☐ Nomination/application file complete</w:t>
      </w:r>
    </w:p>
    <w:p>
      <w:pPr>
        <w:spacing w:after="80"/>
      </w:pPr>
      <w:r>
        <w:t>☐ Learning Agreement approved</w:t>
      </w:r>
    </w:p>
    <w:p>
      <w:pPr>
        <w:spacing w:after="80"/>
      </w:pPr>
      <w:r>
        <w:t>☐ Contact details confirmed</w:t>
      </w:r>
    </w:p>
    <w:p>
      <w:pPr>
        <w:spacing w:after="80"/>
      </w:pPr>
      <w:r>
        <w:t>☐ Department/contact person assigned</w:t>
      </w:r>
    </w:p>
    <w:p>
      <w:pPr>
        <w:spacing w:after="80"/>
      </w:pPr>
      <w:r>
        <w:t>☐ Academic calendar/timetable provided</w:t>
      </w:r>
    </w:p>
    <w:p>
      <w:pPr>
        <w:spacing w:after="80"/>
      </w:pPr>
      <w:r>
        <w:t>☐ Language of instruction reconfirmed</w:t>
      </w:r>
    </w:p>
    <w:p>
      <w:pPr>
        <w:spacing w:after="80"/>
      </w:pPr>
      <w:r>
        <w:t>☐ Residence/visa information provided where relevant</w:t>
      </w:r>
    </w:p>
    <w:p>
      <w:pPr>
        <w:spacing w:after="80"/>
      </w:pPr>
      <w:r>
        <w:t>☐ Emergency contact information provided</w:t>
      </w:r>
    </w:p>
    <w:p>
      <w:pPr>
        <w:spacing w:after="80"/>
      </w:pPr>
      <w:r>
        <w:br w:type="page"/>
      </w:r>
    </w:p>
    <w:p>
      <w:pPr>
        <w:pStyle w:val="Heading1"/>
        <w:spacing w:after="80"/>
      </w:pPr>
      <w:r>
        <w:t>FORM 3 – REQUEST FOR CHANGE TO LEARNING AGREEMENT</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D9EAF7"/>
          </w:tcPr>
          <w:p>
            <w:r>
              <w:rPr>
                <w:b/>
                <w:sz w:val="18"/>
              </w:rPr>
              <w:t>Field</w:t>
            </w:r>
          </w:p>
        </w:tc>
        <w:tc>
          <w:tcPr>
            <w:tcW w:type="dxa" w:w="5083"/>
            <w:shd w:fill="D9EAF7"/>
          </w:tcPr>
          <w:p>
            <w:r>
              <w:rPr>
                <w:b/>
                <w:sz w:val="18"/>
              </w:rPr>
              <w:t>Information</w:t>
            </w:r>
          </w:p>
        </w:tc>
      </w:tr>
      <w:tr>
        <w:tc>
          <w:tcPr>
            <w:tcW w:type="dxa" w:w="5083"/>
            <w:vAlign w:val="center"/>
          </w:tcPr>
          <w:p>
            <w:r>
              <w:t>Student name</w:t>
            </w:r>
          </w:p>
        </w:tc>
        <w:tc>
          <w:tcPr>
            <w:tcW w:type="dxa" w:w="5083"/>
            <w:vAlign w:val="center"/>
          </w:tcPr>
          <w:p>
            <w:r/>
          </w:p>
        </w:tc>
      </w:tr>
      <w:tr>
        <w:tc>
          <w:tcPr>
            <w:tcW w:type="dxa" w:w="5083"/>
            <w:vAlign w:val="center"/>
          </w:tcPr>
          <w:p>
            <w:r>
              <w:t>Home institution</w:t>
            </w:r>
          </w:p>
        </w:tc>
        <w:tc>
          <w:tcPr>
            <w:tcW w:type="dxa" w:w="5083"/>
            <w:vAlign w:val="center"/>
          </w:tcPr>
          <w:p>
            <w:r/>
          </w:p>
        </w:tc>
      </w:tr>
      <w:tr>
        <w:tc>
          <w:tcPr>
            <w:tcW w:type="dxa" w:w="5083"/>
            <w:vAlign w:val="center"/>
          </w:tcPr>
          <w:p>
            <w:r>
              <w:t>Mobility semester</w:t>
            </w:r>
          </w:p>
        </w:tc>
        <w:tc>
          <w:tcPr>
            <w:tcW w:type="dxa" w:w="5083"/>
            <w:vAlign w:val="center"/>
          </w:tcPr>
          <w:p>
            <w:r/>
          </w:p>
        </w:tc>
      </w:tr>
      <w:tr>
        <w:tc>
          <w:tcPr>
            <w:tcW w:type="dxa" w:w="5083"/>
            <w:vAlign w:val="center"/>
          </w:tcPr>
          <w:p>
            <w:r>
              <w:t>Course/component to be deleted</w:t>
            </w:r>
          </w:p>
        </w:tc>
        <w:tc>
          <w:tcPr>
            <w:tcW w:type="dxa" w:w="5083"/>
            <w:vAlign w:val="center"/>
          </w:tcPr>
          <w:p>
            <w:r/>
          </w:p>
        </w:tc>
      </w:tr>
      <w:tr>
        <w:tc>
          <w:tcPr>
            <w:tcW w:type="dxa" w:w="5083"/>
            <w:vAlign w:val="center"/>
          </w:tcPr>
          <w:p>
            <w:r>
              <w:t>Reason for deletion</w:t>
            </w:r>
          </w:p>
        </w:tc>
        <w:tc>
          <w:tcPr>
            <w:tcW w:type="dxa" w:w="5083"/>
            <w:vAlign w:val="center"/>
          </w:tcPr>
          <w:p>
            <w:r/>
          </w:p>
        </w:tc>
      </w:tr>
      <w:tr>
        <w:tc>
          <w:tcPr>
            <w:tcW w:type="dxa" w:w="5083"/>
            <w:vAlign w:val="center"/>
          </w:tcPr>
          <w:p>
            <w:r>
              <w:t>Course/component to be added</w:t>
            </w:r>
          </w:p>
        </w:tc>
        <w:tc>
          <w:tcPr>
            <w:tcW w:type="dxa" w:w="5083"/>
            <w:vAlign w:val="center"/>
          </w:tcPr>
          <w:p>
            <w:r/>
          </w:p>
        </w:tc>
      </w:tr>
      <w:tr>
        <w:tc>
          <w:tcPr>
            <w:tcW w:type="dxa" w:w="5083"/>
            <w:vAlign w:val="center"/>
          </w:tcPr>
          <w:p>
            <w:r>
              <w:t>ECTS</w:t>
            </w:r>
          </w:p>
        </w:tc>
        <w:tc>
          <w:tcPr>
            <w:tcW w:type="dxa" w:w="5083"/>
            <w:vAlign w:val="center"/>
          </w:tcPr>
          <w:p>
            <w:r/>
          </w:p>
        </w:tc>
      </w:tr>
      <w:tr>
        <w:tc>
          <w:tcPr>
            <w:tcW w:type="dxa" w:w="5083"/>
            <w:vAlign w:val="center"/>
          </w:tcPr>
          <w:p>
            <w:r>
              <w:t>Reason for addition</w:t>
            </w:r>
          </w:p>
        </w:tc>
        <w:tc>
          <w:tcPr>
            <w:tcW w:type="dxa" w:w="5083"/>
            <w:vAlign w:val="center"/>
          </w:tcPr>
          <w:p>
            <w:r/>
          </w:p>
        </w:tc>
      </w:tr>
      <w:tr>
        <w:tc>
          <w:tcPr>
            <w:tcW w:type="dxa" w:w="5083"/>
            <w:vAlign w:val="center"/>
          </w:tcPr>
          <w:p>
            <w:r>
              <w:t>Academic recognition confirmed by sending institution</w:t>
            </w:r>
          </w:p>
        </w:tc>
        <w:tc>
          <w:tcPr>
            <w:tcW w:type="dxa" w:w="5083"/>
            <w:vAlign w:val="center"/>
          </w:tcPr>
          <w:p>
            <w:r/>
          </w:p>
        </w:tc>
      </w:tr>
      <w:tr>
        <w:tc>
          <w:tcPr>
            <w:tcW w:type="dxa" w:w="5083"/>
            <w:vAlign w:val="center"/>
          </w:tcPr>
          <w:p>
            <w:r>
              <w:t>Student date/signature</w:t>
            </w:r>
          </w:p>
        </w:tc>
        <w:tc>
          <w:tcPr>
            <w:tcW w:type="dxa" w:w="5083"/>
            <w:vAlign w:val="center"/>
          </w:tcPr>
          <w:p>
            <w:r/>
          </w:p>
        </w:tc>
      </w:tr>
      <w:tr>
        <w:tc>
          <w:tcPr>
            <w:tcW w:type="dxa" w:w="5083"/>
            <w:vAlign w:val="center"/>
          </w:tcPr>
          <w:p>
            <w:r>
              <w:t>Melius Academy academic approval</w:t>
            </w:r>
          </w:p>
        </w:tc>
        <w:tc>
          <w:tcPr>
            <w:tcW w:type="dxa" w:w="5083"/>
            <w:vAlign w:val="center"/>
          </w:tcPr>
          <w:p>
            <w:r/>
          </w:p>
        </w:tc>
      </w:tr>
      <w:tr>
        <w:tc>
          <w:tcPr>
            <w:tcW w:type="dxa" w:w="5083"/>
            <w:vAlign w:val="center"/>
          </w:tcPr>
          <w:p>
            <w:r>
              <w:t>Sending institution approval</w:t>
            </w:r>
          </w:p>
        </w:tc>
        <w:tc>
          <w:tcPr>
            <w:tcW w:type="dxa" w:w="5083"/>
            <w:vAlign w:val="center"/>
          </w:tcPr>
          <w:p>
            <w:r/>
          </w:p>
        </w:tc>
      </w:tr>
    </w:tbl>
    <w:p>
      <w:pPr>
        <w:spacing w:after="80"/>
      </w:pPr>
      <w:r>
        <w:br w:type="page"/>
      </w:r>
    </w:p>
    <w:p>
      <w:pPr>
        <w:pStyle w:val="Heading1"/>
        <w:spacing w:after="80"/>
      </w:pPr>
      <w:r>
        <w:t>FORM 4 – CONFIRMATION OF ARRIVAL / STAY / DEPARTURE</w:t>
      </w:r>
    </w:p>
    <w:p>
      <w:pPr>
        <w:spacing w:after="80"/>
      </w:pPr>
      <w:r>
        <w:t>This is to certify that the student named below has participated in an Erasmus+ mobility at Melius Academy.</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D9EAF7"/>
          </w:tcPr>
          <w:p>
            <w:r>
              <w:rPr>
                <w:b/>
                <w:sz w:val="18"/>
              </w:rPr>
              <w:t>Field</w:t>
            </w:r>
          </w:p>
        </w:tc>
        <w:tc>
          <w:tcPr>
            <w:tcW w:type="dxa" w:w="5083"/>
            <w:shd w:fill="D9EAF7"/>
          </w:tcPr>
          <w:p>
            <w:r>
              <w:rPr>
                <w:b/>
                <w:sz w:val="18"/>
              </w:rPr>
              <w:t>Information</w:t>
            </w:r>
          </w:p>
        </w:tc>
      </w:tr>
      <w:tr>
        <w:tc>
          <w:tcPr>
            <w:tcW w:type="dxa" w:w="5083"/>
            <w:vAlign w:val="center"/>
          </w:tcPr>
          <w:p>
            <w:r>
              <w:t>Student full name</w:t>
            </w:r>
          </w:p>
        </w:tc>
        <w:tc>
          <w:tcPr>
            <w:tcW w:type="dxa" w:w="5083"/>
            <w:vAlign w:val="center"/>
          </w:tcPr>
          <w:p>
            <w:r/>
          </w:p>
        </w:tc>
      </w:tr>
      <w:tr>
        <w:tc>
          <w:tcPr>
            <w:tcW w:type="dxa" w:w="5083"/>
            <w:vAlign w:val="center"/>
          </w:tcPr>
          <w:p>
            <w:r>
              <w:t>Home institution</w:t>
            </w:r>
          </w:p>
        </w:tc>
        <w:tc>
          <w:tcPr>
            <w:tcW w:type="dxa" w:w="5083"/>
            <w:vAlign w:val="center"/>
          </w:tcPr>
          <w:p>
            <w:r/>
          </w:p>
        </w:tc>
      </w:tr>
      <w:tr>
        <w:tc>
          <w:tcPr>
            <w:tcW w:type="dxa" w:w="5083"/>
            <w:vAlign w:val="center"/>
          </w:tcPr>
          <w:p>
            <w:r>
              <w:t>Mobility type</w:t>
            </w:r>
          </w:p>
        </w:tc>
        <w:tc>
          <w:tcPr>
            <w:tcW w:type="dxa" w:w="5083"/>
            <w:vAlign w:val="center"/>
          </w:tcPr>
          <w:p>
            <w:r/>
          </w:p>
        </w:tc>
      </w:tr>
      <w:tr>
        <w:tc>
          <w:tcPr>
            <w:tcW w:type="dxa" w:w="5083"/>
            <w:vAlign w:val="center"/>
          </w:tcPr>
          <w:p>
            <w:r>
              <w:t>Actual arrival date</w:t>
            </w:r>
          </w:p>
        </w:tc>
        <w:tc>
          <w:tcPr>
            <w:tcW w:type="dxa" w:w="5083"/>
            <w:vAlign w:val="center"/>
          </w:tcPr>
          <w:p>
            <w:r/>
          </w:p>
        </w:tc>
      </w:tr>
      <w:tr>
        <w:tc>
          <w:tcPr>
            <w:tcW w:type="dxa" w:w="5083"/>
            <w:vAlign w:val="center"/>
          </w:tcPr>
          <w:p>
            <w:r>
              <w:t>Actual departure date</w:t>
            </w:r>
          </w:p>
        </w:tc>
        <w:tc>
          <w:tcPr>
            <w:tcW w:type="dxa" w:w="5083"/>
            <w:vAlign w:val="center"/>
          </w:tcPr>
          <w:p>
            <w:r/>
          </w:p>
        </w:tc>
      </w:tr>
      <w:tr>
        <w:tc>
          <w:tcPr>
            <w:tcW w:type="dxa" w:w="5083"/>
            <w:vAlign w:val="center"/>
          </w:tcPr>
          <w:p>
            <w:r>
              <w:t>Physical mobility period</w:t>
            </w:r>
          </w:p>
        </w:tc>
        <w:tc>
          <w:tcPr>
            <w:tcW w:type="dxa" w:w="5083"/>
            <w:vAlign w:val="center"/>
          </w:tcPr>
          <w:p>
            <w:r/>
          </w:p>
        </w:tc>
      </w:tr>
      <w:tr>
        <w:tc>
          <w:tcPr>
            <w:tcW w:type="dxa" w:w="5083"/>
            <w:vAlign w:val="center"/>
          </w:tcPr>
          <w:p>
            <w:r>
              <w:t>Melius Academy contact person</w:t>
            </w:r>
          </w:p>
        </w:tc>
        <w:tc>
          <w:tcPr>
            <w:tcW w:type="dxa" w:w="5083"/>
            <w:vAlign w:val="center"/>
          </w:tcPr>
          <w:p>
            <w:r/>
          </w:p>
        </w:tc>
      </w:tr>
      <w:tr>
        <w:tc>
          <w:tcPr>
            <w:tcW w:type="dxa" w:w="5083"/>
            <w:vAlign w:val="center"/>
          </w:tcPr>
          <w:p>
            <w:r>
              <w:t>Place and date</w:t>
            </w:r>
          </w:p>
        </w:tc>
        <w:tc>
          <w:tcPr>
            <w:tcW w:type="dxa" w:w="5083"/>
            <w:vAlign w:val="center"/>
          </w:tcPr>
          <w:p>
            <w:r/>
          </w:p>
        </w:tc>
      </w:tr>
      <w:tr>
        <w:tc>
          <w:tcPr>
            <w:tcW w:type="dxa" w:w="5083"/>
            <w:vAlign w:val="center"/>
          </w:tcPr>
          <w:p>
            <w:r>
              <w:t>Signature / institutional confirmation</w:t>
            </w:r>
          </w:p>
        </w:tc>
        <w:tc>
          <w:tcPr>
            <w:tcW w:type="dxa" w:w="5083"/>
            <w:vAlign w:val="center"/>
          </w:tcPr>
          <w:p>
            <w:r/>
          </w:p>
        </w:tc>
      </w:tr>
    </w:tbl>
    <w:p>
      <w:pPr>
        <w:spacing w:after="80"/>
      </w:pPr>
      <w:r>
        <w:br w:type="page"/>
      </w:r>
    </w:p>
    <w:p>
      <w:pPr>
        <w:pStyle w:val="Heading1"/>
        <w:spacing w:after="80"/>
      </w:pPr>
      <w:r>
        <w:t>FORM 5 – TRAINEESHIP MONITORING FORM</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D9EAF7"/>
          </w:tcPr>
          <w:p>
            <w:r>
              <w:rPr>
                <w:b/>
                <w:sz w:val="18"/>
              </w:rPr>
              <w:t>Field</w:t>
            </w:r>
          </w:p>
        </w:tc>
        <w:tc>
          <w:tcPr>
            <w:tcW w:type="dxa" w:w="5083"/>
            <w:shd w:fill="D9EAF7"/>
          </w:tcPr>
          <w:p>
            <w:r>
              <w:rPr>
                <w:b/>
                <w:sz w:val="18"/>
              </w:rPr>
              <w:t>Information</w:t>
            </w:r>
          </w:p>
        </w:tc>
      </w:tr>
      <w:tr>
        <w:tc>
          <w:tcPr>
            <w:tcW w:type="dxa" w:w="5083"/>
            <w:vAlign w:val="center"/>
          </w:tcPr>
          <w:p>
            <w:r>
              <w:t>Student</w:t>
            </w:r>
          </w:p>
        </w:tc>
        <w:tc>
          <w:tcPr>
            <w:tcW w:type="dxa" w:w="5083"/>
            <w:vAlign w:val="center"/>
          </w:tcPr>
          <w:p>
            <w:r/>
          </w:p>
        </w:tc>
      </w:tr>
      <w:tr>
        <w:tc>
          <w:tcPr>
            <w:tcW w:type="dxa" w:w="5083"/>
            <w:vAlign w:val="center"/>
          </w:tcPr>
          <w:p>
            <w:r>
              <w:t>Host unit/organisation</w:t>
            </w:r>
          </w:p>
        </w:tc>
        <w:tc>
          <w:tcPr>
            <w:tcW w:type="dxa" w:w="5083"/>
            <w:vAlign w:val="center"/>
          </w:tcPr>
          <w:p>
            <w:r/>
          </w:p>
        </w:tc>
      </w:tr>
      <w:tr>
        <w:tc>
          <w:tcPr>
            <w:tcW w:type="dxa" w:w="5083"/>
            <w:vAlign w:val="center"/>
          </w:tcPr>
          <w:p>
            <w:r>
              <w:t>Mentor</w:t>
            </w:r>
          </w:p>
        </w:tc>
        <w:tc>
          <w:tcPr>
            <w:tcW w:type="dxa" w:w="5083"/>
            <w:vAlign w:val="center"/>
          </w:tcPr>
          <w:p>
            <w:r/>
          </w:p>
        </w:tc>
      </w:tr>
      <w:tr>
        <w:tc>
          <w:tcPr>
            <w:tcW w:type="dxa" w:w="5083"/>
            <w:vAlign w:val="center"/>
          </w:tcPr>
          <w:p>
            <w:r>
              <w:t>Mobility period</w:t>
            </w:r>
          </w:p>
        </w:tc>
        <w:tc>
          <w:tcPr>
            <w:tcW w:type="dxa" w:w="5083"/>
            <w:vAlign w:val="center"/>
          </w:tcPr>
          <w:p>
            <w:r/>
          </w:p>
        </w:tc>
      </w:tr>
      <w:tr>
        <w:tc>
          <w:tcPr>
            <w:tcW w:type="dxa" w:w="5083"/>
            <w:vAlign w:val="center"/>
          </w:tcPr>
          <w:p>
            <w:r>
              <w:t>Main tasks</w:t>
            </w:r>
          </w:p>
        </w:tc>
        <w:tc>
          <w:tcPr>
            <w:tcW w:type="dxa" w:w="5083"/>
            <w:vAlign w:val="center"/>
          </w:tcPr>
          <w:p>
            <w:r/>
          </w:p>
        </w:tc>
      </w:tr>
      <w:tr>
        <w:tc>
          <w:tcPr>
            <w:tcW w:type="dxa" w:w="5083"/>
            <w:vAlign w:val="center"/>
          </w:tcPr>
          <w:p>
            <w:r>
              <w:t>Learning outcomes</w:t>
            </w:r>
          </w:p>
        </w:tc>
        <w:tc>
          <w:tcPr>
            <w:tcW w:type="dxa" w:w="5083"/>
            <w:vAlign w:val="center"/>
          </w:tcPr>
          <w:p>
            <w:r/>
          </w:p>
        </w:tc>
      </w:tr>
      <w:tr>
        <w:tc>
          <w:tcPr>
            <w:tcW w:type="dxa" w:w="5083"/>
            <w:vAlign w:val="center"/>
          </w:tcPr>
          <w:p>
            <w:r>
              <w:t>Mid-term progress</w:t>
            </w:r>
          </w:p>
        </w:tc>
        <w:tc>
          <w:tcPr>
            <w:tcW w:type="dxa" w:w="5083"/>
            <w:vAlign w:val="center"/>
          </w:tcPr>
          <w:p>
            <w:r/>
          </w:p>
        </w:tc>
      </w:tr>
      <w:tr>
        <w:tc>
          <w:tcPr>
            <w:tcW w:type="dxa" w:w="5083"/>
            <w:vAlign w:val="center"/>
          </w:tcPr>
          <w:p>
            <w:r>
              <w:t>Attendance/issues</w:t>
            </w:r>
          </w:p>
        </w:tc>
        <w:tc>
          <w:tcPr>
            <w:tcW w:type="dxa" w:w="5083"/>
            <w:vAlign w:val="center"/>
          </w:tcPr>
          <w:p>
            <w:r/>
          </w:p>
        </w:tc>
      </w:tr>
      <w:tr>
        <w:tc>
          <w:tcPr>
            <w:tcW w:type="dxa" w:w="5083"/>
            <w:vAlign w:val="center"/>
          </w:tcPr>
          <w:p>
            <w:r>
              <w:t>Final evaluation</w:t>
            </w:r>
          </w:p>
        </w:tc>
        <w:tc>
          <w:tcPr>
            <w:tcW w:type="dxa" w:w="5083"/>
            <w:vAlign w:val="center"/>
          </w:tcPr>
          <w:p>
            <w:r/>
          </w:p>
        </w:tc>
      </w:tr>
      <w:tr>
        <w:tc>
          <w:tcPr>
            <w:tcW w:type="dxa" w:w="5083"/>
            <w:vAlign w:val="center"/>
          </w:tcPr>
          <w:p>
            <w:r>
              <w:t>Recommendations</w:t>
            </w:r>
          </w:p>
        </w:tc>
        <w:tc>
          <w:tcPr>
            <w:tcW w:type="dxa" w:w="5083"/>
            <w:vAlign w:val="center"/>
          </w:tcPr>
          <w:p>
            <w:r/>
          </w:p>
        </w:tc>
      </w:tr>
      <w:tr>
        <w:tc>
          <w:tcPr>
            <w:tcW w:type="dxa" w:w="5083"/>
            <w:vAlign w:val="center"/>
          </w:tcPr>
          <w:p>
            <w:r>
              <w:t>Mentor confirmation</w:t>
            </w:r>
          </w:p>
        </w:tc>
        <w:tc>
          <w:tcPr>
            <w:tcW w:type="dxa" w:w="5083"/>
            <w:vAlign w:val="center"/>
          </w:tcPr>
          <w:p>
            <w:r/>
          </w:p>
        </w:tc>
      </w:tr>
    </w:tbl>
    <w:p>
      <w:pPr>
        <w:spacing w:after="80"/>
      </w:pPr>
      <w:r>
        <w:br w:type="page"/>
      </w:r>
    </w:p>
    <w:p>
      <w:pPr>
        <w:pStyle w:val="Heading1"/>
        <w:spacing w:after="80"/>
      </w:pPr>
      <w:r>
        <w:t>FORM 6 – INCOMING STUDENT DEPARTURE CHECKLIST</w:t>
      </w:r>
    </w:p>
    <w:p>
      <w:pPr>
        <w:spacing w:after="80"/>
      </w:pPr>
      <w:r>
        <w:t>☐ All academic/traineeship obligations completed</w:t>
      </w:r>
    </w:p>
    <w:p>
      <w:pPr>
        <w:spacing w:after="80"/>
      </w:pPr>
      <w:r>
        <w:t>☐ Grades/results recorded</w:t>
      </w:r>
    </w:p>
    <w:p>
      <w:pPr>
        <w:spacing w:after="80"/>
      </w:pPr>
      <w:r>
        <w:t>☐ Transcript of Records requested/issued</w:t>
      </w:r>
    </w:p>
    <w:p>
      <w:pPr>
        <w:spacing w:after="80"/>
      </w:pPr>
      <w:r>
        <w:t>☐ Traineeship Certificate requested/issued</w:t>
      </w:r>
    </w:p>
    <w:p>
      <w:pPr>
        <w:spacing w:after="80"/>
      </w:pPr>
      <w:r>
        <w:t>☐ Confirmation of Stay issued if required</w:t>
      </w:r>
    </w:p>
    <w:p>
      <w:pPr>
        <w:spacing w:after="80"/>
      </w:pPr>
      <w:r>
        <w:t>☐ Library/equipment obligations cleared</w:t>
      </w:r>
    </w:p>
    <w:p>
      <w:pPr>
        <w:spacing w:after="80"/>
      </w:pPr>
      <w:r>
        <w:t>☐ Final contact details confirmed</w:t>
      </w:r>
    </w:p>
    <w:p>
      <w:pPr>
        <w:spacing w:after="80"/>
      </w:pPr>
      <w:r>
        <w:t>☐ Student informed about delivery of pending final documents</w:t>
      </w:r>
    </w:p>
    <w:p>
      <w:pPr>
        <w:spacing w:after="80"/>
      </w:pPr>
      <w:r>
        <w:br w:type="page"/>
      </w:r>
    </w:p>
    <w:p>
      <w:pPr>
        <w:pStyle w:val="Heading1"/>
        <w:spacing w:after="80"/>
      </w:pPr>
      <w:r>
        <w:t>FORM 7 – BIP PARTICIPANT RECORD</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D9EAF7"/>
          </w:tcPr>
          <w:p>
            <w:r>
              <w:rPr>
                <w:b/>
                <w:sz w:val="18"/>
              </w:rPr>
              <w:t>Field</w:t>
            </w:r>
          </w:p>
        </w:tc>
        <w:tc>
          <w:tcPr>
            <w:tcW w:type="dxa" w:w="5083"/>
            <w:shd w:fill="D9EAF7"/>
          </w:tcPr>
          <w:p>
            <w:r>
              <w:rPr>
                <w:b/>
                <w:sz w:val="18"/>
              </w:rPr>
              <w:t>Information</w:t>
            </w:r>
          </w:p>
        </w:tc>
      </w:tr>
      <w:tr>
        <w:tc>
          <w:tcPr>
            <w:tcW w:type="dxa" w:w="5083"/>
            <w:vAlign w:val="center"/>
          </w:tcPr>
          <w:p>
            <w:r>
              <w:t>Student</w:t>
            </w:r>
          </w:p>
        </w:tc>
        <w:tc>
          <w:tcPr>
            <w:tcW w:type="dxa" w:w="5083"/>
            <w:vAlign w:val="center"/>
          </w:tcPr>
          <w:p>
            <w:r/>
          </w:p>
        </w:tc>
      </w:tr>
      <w:tr>
        <w:tc>
          <w:tcPr>
            <w:tcW w:type="dxa" w:w="5083"/>
            <w:vAlign w:val="center"/>
          </w:tcPr>
          <w:p>
            <w:r>
              <w:t>Sending institution</w:t>
            </w:r>
          </w:p>
        </w:tc>
        <w:tc>
          <w:tcPr>
            <w:tcW w:type="dxa" w:w="5083"/>
            <w:vAlign w:val="center"/>
          </w:tcPr>
          <w:p>
            <w:r/>
          </w:p>
        </w:tc>
      </w:tr>
      <w:tr>
        <w:tc>
          <w:tcPr>
            <w:tcW w:type="dxa" w:w="5083"/>
            <w:vAlign w:val="center"/>
          </w:tcPr>
          <w:p>
            <w:r>
              <w:t>BIP title</w:t>
            </w:r>
          </w:p>
        </w:tc>
        <w:tc>
          <w:tcPr>
            <w:tcW w:type="dxa" w:w="5083"/>
            <w:vAlign w:val="center"/>
          </w:tcPr>
          <w:p>
            <w:r/>
          </w:p>
        </w:tc>
      </w:tr>
      <w:tr>
        <w:tc>
          <w:tcPr>
            <w:tcW w:type="dxa" w:w="5083"/>
            <w:vAlign w:val="center"/>
          </w:tcPr>
          <w:p>
            <w:r>
              <w:t>Virtual component dates</w:t>
            </w:r>
          </w:p>
        </w:tc>
        <w:tc>
          <w:tcPr>
            <w:tcW w:type="dxa" w:w="5083"/>
            <w:vAlign w:val="center"/>
          </w:tcPr>
          <w:p>
            <w:r/>
          </w:p>
        </w:tc>
      </w:tr>
      <w:tr>
        <w:tc>
          <w:tcPr>
            <w:tcW w:type="dxa" w:w="5083"/>
            <w:vAlign w:val="center"/>
          </w:tcPr>
          <w:p>
            <w:r>
              <w:t>Physical component dates</w:t>
            </w:r>
          </w:p>
        </w:tc>
        <w:tc>
          <w:tcPr>
            <w:tcW w:type="dxa" w:w="5083"/>
            <w:vAlign w:val="center"/>
          </w:tcPr>
          <w:p>
            <w:r/>
          </w:p>
        </w:tc>
      </w:tr>
      <w:tr>
        <w:tc>
          <w:tcPr>
            <w:tcW w:type="dxa" w:w="5083"/>
            <w:vAlign w:val="center"/>
          </w:tcPr>
          <w:p>
            <w:r>
              <w:t>Host location</w:t>
            </w:r>
          </w:p>
        </w:tc>
        <w:tc>
          <w:tcPr>
            <w:tcW w:type="dxa" w:w="5083"/>
            <w:vAlign w:val="center"/>
          </w:tcPr>
          <w:p>
            <w:r/>
          </w:p>
        </w:tc>
      </w:tr>
      <w:tr>
        <w:tc>
          <w:tcPr>
            <w:tcW w:type="dxa" w:w="5083"/>
            <w:vAlign w:val="center"/>
          </w:tcPr>
          <w:p>
            <w:r>
              <w:t>ECTS awarded (minimum 3)</w:t>
            </w:r>
          </w:p>
        </w:tc>
        <w:tc>
          <w:tcPr>
            <w:tcW w:type="dxa" w:w="5083"/>
            <w:vAlign w:val="center"/>
          </w:tcPr>
          <w:p>
            <w:r/>
          </w:p>
        </w:tc>
      </w:tr>
      <w:tr>
        <w:tc>
          <w:tcPr>
            <w:tcW w:type="dxa" w:w="5083"/>
            <w:vAlign w:val="center"/>
          </w:tcPr>
          <w:p>
            <w:r>
              <w:t>Assessment completed</w:t>
            </w:r>
          </w:p>
        </w:tc>
        <w:tc>
          <w:tcPr>
            <w:tcW w:type="dxa" w:w="5083"/>
            <w:vAlign w:val="center"/>
          </w:tcPr>
          <w:p>
            <w:r/>
          </w:p>
        </w:tc>
      </w:tr>
      <w:tr>
        <w:tc>
          <w:tcPr>
            <w:tcW w:type="dxa" w:w="5083"/>
            <w:vAlign w:val="center"/>
          </w:tcPr>
          <w:p>
            <w:r>
              <w:t>Certificate/Transcript issued</w:t>
            </w:r>
          </w:p>
        </w:tc>
        <w:tc>
          <w:tcPr>
            <w:tcW w:type="dxa" w:w="5083"/>
            <w:vAlign w:val="center"/>
          </w:tcPr>
          <w:p>
            <w:r/>
          </w:p>
        </w:tc>
      </w:tr>
      <w:tr>
        <w:tc>
          <w:tcPr>
            <w:tcW w:type="dxa" w:w="5083"/>
            <w:vAlign w:val="center"/>
          </w:tcPr>
          <w:p>
            <w:r>
              <w:t>Melius Academy coordinator confirmation</w:t>
            </w:r>
          </w:p>
        </w:tc>
        <w:tc>
          <w:tcPr>
            <w:tcW w:type="dxa" w:w="5083"/>
            <w:vAlign w:val="center"/>
          </w:tcPr>
          <w:p>
            <w:r/>
          </w:p>
        </w:tc>
      </w:tr>
    </w:tbl>
    <w:p>
      <w:pPr>
        <w:pStyle w:val="Heading1"/>
        <w:spacing w:after="80"/>
      </w:pPr>
      <w:r>
        <w:t>Official Erasmus+ references</w:t>
      </w:r>
    </w:p>
    <w:p>
      <w:pPr>
        <w:pStyle w:val="ListBullet"/>
        <w:spacing w:after="80"/>
      </w:pPr>
      <w:r>
        <w:t>Erasmus+ Programme Guide 2026</w:t>
      </w:r>
    </w:p>
    <w:p>
      <w:pPr>
        <w:pStyle w:val="ListBullet"/>
        <w:spacing w:after="80"/>
      </w:pPr>
      <w:r>
        <w:t>Erasmus+ Student Charter</w:t>
      </w:r>
    </w:p>
    <w:p>
      <w:pPr>
        <w:pStyle w:val="ListBullet"/>
        <w:spacing w:after="80"/>
      </w:pPr>
      <w:r>
        <w:t>Learning Agreement for Studies / Traineeships (KA131/KA171)</w:t>
      </w:r>
    </w:p>
    <w:p>
      <w:pPr>
        <w:pStyle w:val="ListBullet"/>
        <w:spacing w:after="80"/>
      </w:pPr>
      <w:r>
        <w:t>Erasmus Charter for Higher Education (ECHE)</w:t>
      </w:r>
    </w:p>
    <w:p>
      <w:pPr>
        <w:spacing w:after="80"/>
      </w:pPr>
      <w:r>
        <w:br w:type="page"/>
      </w:r>
    </w:p>
    <w:p>
      <w:pPr>
        <w:spacing w:after="80"/>
      </w:pPr>
      <w:r>
        <w:t>Such support is not automatic for every course and should be agreed before the mobility begins, preferably before final approval of the Learning Agreement.</w:t>
      </w:r>
    </w:p>
    <w:p>
      <w:pPr>
        <w:spacing w:after="80"/>
      </w:pPr>
      <w:r>
        <w:t>Regular Melius Academy courses are taught in Serbian. For incoming Erasmus+ students, English-language support may be arranged in advance with the Erasmus/International Coordinator, the relevant department and the responsible course teacher. Depending on academic and organisational feasibility, this may include explanations in English, translation of selected teaching materials or language/translation support for selected activities.</w:t>
      </w:r>
    </w:p>
    <w:p>
      <w:pPr>
        <w:pStyle w:val="Heading1"/>
        <w:spacing w:after="80"/>
      </w:pPr>
      <w:r>
        <w:t>English-language support by prior agreement</w:t>
      </w:r>
    </w:p>
    <w:p>
      <w:pPr>
        <w:spacing w:after="80"/>
      </w:pPr>
      <w:r>
        <w:t>This document is applied together with the current Erasmus+ Programme Guide 2026, ECHE principles, the applicable Learning Agreement/Mobility Agreement templates, the Grant Agreement of the specific project and the rules of the competent National Agency. If a programme rule changes, the rule applicable to the relevant call/project year prevails.</w:t>
      </w:r>
    </w:p>
    <w:p>
      <w:pPr>
        <w:pStyle w:val="Heading1"/>
        <w:spacing w:after="80"/>
      </w:pPr>
      <w:r>
        <w:t>Programme basis and applicability</w:t>
      </w:r>
    </w:p>
    <w:p>
      <w:pPr/>
      <w:r>
        <w:t>The institutional continuity of Melius Academy originates from the former Academy of Business Economics in Čačak. The institution operated under that name and held a work permit dating back to 2009. During 2026, a change of seat and name was implemented: in May 2026 the move from Čačak to Belgrade and the new name “Melius Academy” were publicly announced; in July 2026 the institution published the formal change of name and seat and subsequently a new work permit issued by the Ministry of Education for the higher education institution “Melius Academy” based in Belgrade. The change therefore represents institutional continuity under a new name and seat rather than the establishment of an entirely new institution.</w:t>
      </w:r>
    </w:p>
    <w:p>
      <w:pPr/>
      <w:r>
        <w:t>Melius Academy is a higher education institution of academic studies based at Trešnjin cvet 11, Belgrade, Republic of Serbia. Regular teaching is delivered in Serbian. For incoming Erasmus+ students, English-language support may be arranged in advance with the Erasmus/International Coordinator, the responsible teacher and the relevant organisational unit. Depending on academic and organisational feasibility, this may include explanations in English, selected English-language materials or interpretation/translation support. Such support is not automatically guaranteed for every course and should be agreed before final approval of the Learning Agreement.</w:t>
      </w:r>
    </w:p>
    <w:p>
      <w:pPr>
        <w:pStyle w:val="Heading1"/>
      </w:pPr>
      <w:r>
        <w:t>Institutional profile and continuity</w:t>
      </w:r>
    </w:p>
    <w:p>
      <w:pPr>
        <w:spacing w:after="80"/>
        <w:jc w:val="center"/>
      </w:pPr>
      <w:r>
        <w:rPr>
          <w:b/>
          <w:color w:val="B4B4B4"/>
          <w:sz w:val="60"/>
        </w:rPr>
        <w:t>PRIMER / EXAMPLE</w:t>
      </w:r>
    </w:p>
    <w:p>
      <w:pPr>
        <w:spacing w:after="80"/>
        <w:jc w:val="center"/>
      </w:pPr>
      <w:r>
        <w:rPr>
          <w:b/>
          <w:color w:val="B40000"/>
          <w:sz w:val="26"/>
        </w:rPr>
        <w:t>DELETE THIS ENTIRE PAGE BEFORE OFFICIAL USE</w:t>
      </w:r>
    </w:p>
    <w:p>
      <w:pPr>
        <w:pStyle w:val="Heading2"/>
        <w:spacing w:after="80"/>
      </w:pPr>
      <w:r>
        <w:t>Worked incoming example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Field</w:t>
            </w:r>
          </w:p>
        </w:tc>
        <w:tc>
          <w:tcPr>
            <w:tcW w:type="dxa" w:w="5083"/>
            <w:shd w:fill="E8F0F5"/>
          </w:tcPr>
          <w:p>
            <w:r>
              <w:rPr>
                <w:b/>
                <w:sz w:val="18"/>
              </w:rPr>
              <w:t>Completed example</w:t>
            </w:r>
          </w:p>
        </w:tc>
      </w:tr>
      <w:tr>
        <w:tc>
          <w:tcPr>
            <w:tcW w:type="dxa" w:w="5083"/>
            <w:vAlign w:val="center"/>
          </w:tcPr>
          <w:p>
            <w:r>
              <w:rPr>
                <w:sz w:val="18"/>
              </w:rPr>
              <w:t>Student</w:t>
            </w:r>
          </w:p>
        </w:tc>
        <w:tc>
          <w:tcPr>
            <w:tcW w:type="dxa" w:w="5083"/>
            <w:vAlign w:val="center"/>
          </w:tcPr>
          <w:p>
            <w:r>
              <w:rPr>
                <w:sz w:val="18"/>
              </w:rPr>
              <w:t>Laura Rossi</w:t>
            </w:r>
          </w:p>
        </w:tc>
      </w:tr>
      <w:tr>
        <w:tc>
          <w:tcPr>
            <w:tcW w:type="dxa" w:w="5083"/>
            <w:vAlign w:val="center"/>
          </w:tcPr>
          <w:p>
            <w:r>
              <w:rPr>
                <w:sz w:val="18"/>
              </w:rPr>
              <w:t>Sending HEI</w:t>
            </w:r>
          </w:p>
        </w:tc>
        <w:tc>
          <w:tcPr>
            <w:tcW w:type="dxa" w:w="5083"/>
            <w:vAlign w:val="center"/>
          </w:tcPr>
          <w:p>
            <w:r>
              <w:rPr>
                <w:sz w:val="18"/>
              </w:rPr>
              <w:t>Partner University, Italy</w:t>
            </w:r>
          </w:p>
        </w:tc>
      </w:tr>
      <w:tr>
        <w:tc>
          <w:tcPr>
            <w:tcW w:type="dxa" w:w="5083"/>
            <w:vAlign w:val="center"/>
          </w:tcPr>
          <w:p>
            <w:r>
              <w:rPr>
                <w:sz w:val="18"/>
              </w:rPr>
              <w:t>Mobility</w:t>
            </w:r>
          </w:p>
        </w:tc>
        <w:tc>
          <w:tcPr>
            <w:tcW w:type="dxa" w:w="5083"/>
            <w:vAlign w:val="center"/>
          </w:tcPr>
          <w:p>
            <w:r>
              <w:rPr>
                <w:sz w:val="18"/>
              </w:rPr>
              <w:t>Studies</w:t>
            </w:r>
          </w:p>
        </w:tc>
      </w:tr>
      <w:tr>
        <w:tc>
          <w:tcPr>
            <w:tcW w:type="dxa" w:w="5083"/>
            <w:vAlign w:val="center"/>
          </w:tcPr>
          <w:p>
            <w:r>
              <w:rPr>
                <w:sz w:val="18"/>
              </w:rPr>
              <w:t>Language of instruction</w:t>
            </w:r>
          </w:p>
        </w:tc>
        <w:tc>
          <w:tcPr>
            <w:tcW w:type="dxa" w:w="5083"/>
            <w:vAlign w:val="center"/>
          </w:tcPr>
          <w:p>
            <w:r>
              <w:rPr>
                <w:sz w:val="18"/>
              </w:rPr>
              <w:t>Serbian – communicated before LA approval</w:t>
            </w:r>
          </w:p>
        </w:tc>
      </w:tr>
      <w:tr>
        <w:tc>
          <w:tcPr>
            <w:tcW w:type="dxa" w:w="5083"/>
            <w:vAlign w:val="center"/>
          </w:tcPr>
          <w:p>
            <w:r>
              <w:rPr>
                <w:sz w:val="18"/>
              </w:rPr>
              <w:t>Completion</w:t>
            </w:r>
          </w:p>
        </w:tc>
        <w:tc>
          <w:tcPr>
            <w:tcW w:type="dxa" w:w="5083"/>
            <w:vAlign w:val="center"/>
          </w:tcPr>
          <w:p>
            <w:r>
              <w:rPr>
                <w:sz w:val="18"/>
              </w:rPr>
              <w:t>Transcript of Records</w:t>
            </w:r>
          </w:p>
        </w:tc>
      </w:tr>
    </w:tbl>
    <w:p>
      <w:pPr>
        <w:spacing w:after="80"/>
      </w:pPr>
    </w:p>
    <w:p>
      <w:pPr>
        <w:spacing w:after="80"/>
        <w:jc w:val="center"/>
      </w:pPr>
      <w:r>
        <w:rPr>
          <w:b/>
          <w:color w:val="B40000"/>
        </w:rPr>
        <w:t>DELETE THIS ENTIRE PAGE BEFORE OFFICIAL USE</w:t>
      </w:r>
    </w:p>
    <w:sectPr w:rsidR="00FC693F" w:rsidRPr="0006063C" w:rsidSect="00034616">
      <w:headerReference w:type="default" r:id="rId9"/>
      <w:footerReference w:type="default" r:id="rId10"/>
      <w:pgSz w:w="12240" w:h="15840"/>
      <w:pgMar w:top="979" w:right="1037" w:bottom="936" w:left="1037" w:header="17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Melius Academy | Erasmus+ Higher Education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drawing>
        <wp:inline xmlns:a="http://schemas.openxmlformats.org/drawingml/2006/main" xmlns:pic="http://schemas.openxmlformats.org/drawingml/2006/picture">
          <wp:extent cx="6537960" cy="745327"/>
          <wp:docPr id="1" name="Picture 1"/>
          <wp:cNvGraphicFramePr>
            <a:graphicFrameLocks noChangeAspect="1"/>
          </wp:cNvGraphicFramePr>
          <a:graphic>
            <a:graphicData uri="http://schemas.openxmlformats.org/drawingml/2006/picture">
              <pic:pic>
                <pic:nvPicPr>
                  <pic:cNvPr id="0" name="Melius_Erasmus_Header_FINAL.png"/>
                  <pic:cNvPicPr/>
                </pic:nvPicPr>
                <pic:blipFill>
                  <a:blip r:embed="rId3"/>
                  <a:stretch>
                    <a:fillRect/>
                  </a:stretch>
                </pic:blipFill>
                <pic:spPr>
                  <a:xfrm>
                    <a:off x="0" y="0"/>
                    <a:ext cx="6537960" cy="745327"/>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22B38"/>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2B3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22B3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22B38"/>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
    <w:name w:val="Article"/>
    <w:rPr>
      <w:rFonts w:ascii="Aptos" w:hAnsi="Aptos"/>
      <w:b/>
      <w:color w:val="122B38"/>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