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color w:val="5A5A5A"/>
          <w:sz w:val="18"/>
        </w:rPr>
      </w:r>
    </w:p>
    <w:p>
      <w:pPr>
        <w:jc w:val="center"/>
      </w:pPr>
      <w:r>
        <w:t>Melius Academy, Belgrade</w:t>
      </w:r>
    </w:p>
    <w:p>
      <w:pPr>
        <w:jc w:val="center"/>
      </w:pPr>
      <w:r>
        <w:rPr>
          <w:b/>
          <w:color w:val="501214"/>
        </w:rPr>
        <w:t>Visoka škola akademskih studija „Melius Academy“ – Beograd</w:t>
      </w:r>
    </w:p>
    <w:p>
      <w:pPr>
        <w:spacing w:before="1800" w:after="80"/>
        <w:jc w:val="center"/>
      </w:pPr>
      <w:r>
        <w:rPr>
          <w:b/>
          <w:color w:val="122B38"/>
          <w:sz w:val="42"/>
        </w:rPr>
        <w:t>VODIČ ZA DOLAZNE ERASMUS+ STUDENTE</w:t>
      </w:r>
    </w:p>
    <w:p>
      <w:pPr>
        <w:spacing w:after="80"/>
        <w:jc w:val="center"/>
      </w:pPr>
      <w:r>
        <w:rPr>
          <w:i/>
          <w:sz w:val="22"/>
        </w:rPr>
        <w:t>Studiranje, stručna praksa i BIP</w:t>
      </w:r>
    </w:p>
    <w:p>
      <w:pPr>
        <w:spacing w:after="80"/>
        <w:jc w:val="center"/>
      </w:pPr>
      <w:r>
        <w:rPr>
          <w:color w:val="646464"/>
          <w:sz w:val="20"/>
        </w:rPr>
        <w:t>Melius Academy | Erasmus+ Higher Education</w:t>
      </w:r>
    </w:p>
    <w:p>
      <w:pPr>
        <w:spacing w:after="80"/>
      </w:pPr>
      <w:r>
        <w:br w:type="page"/>
      </w:r>
    </w:p>
    <w:p>
      <w:pPr>
        <w:pStyle w:val="Heading1"/>
        <w:spacing w:after="80"/>
      </w:pPr>
      <w:r>
        <w:t>Legenda skraćenica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Skraćenica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Značenje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SMS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Studies – mobilnost studenata radi studiranja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SMT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 Mobility for Traineeships – mobilnost studenata radi stručne prakse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Teaching – mobilnost osoblja radi držanja nastave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Staff Mobility for Training – mobilnost osoblja radi obuke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BIP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Blended Intensive Programme – kombinovani intenzivni program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ECTS / ESPB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European Credit Transfer and Accumulation System / Evropski sistem prenosa bodova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LA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Learning Agreement – ugovor o učenju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Mobility Agreement – ugovor o programu mobilnosti osoblja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IIA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Inter-Institutional Agreement – međuinstitucionalni sporazum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HEI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Higher Education Institution – visokoškolska ustanova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ECHE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Charter for Higher Education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EWP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Erasmus Without Paper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1. Svrha vodiča</w:t>
      </w:r>
    </w:p>
    <w:p>
      <w:pPr>
        <w:spacing w:after="80"/>
      </w:pPr>
      <w:r>
        <w:t>Vodič je namenjen dolaznim Erasmus+ studentima i partnerskim ustanovama i objašnjava postupak za studiranje, stručnu praksu i učešće u BIP-u, od nominacije do završne dokumentacije.</w:t>
      </w:r>
    </w:p>
    <w:p>
      <w:pPr>
        <w:pStyle w:val="Heading1"/>
        <w:spacing w:after="80"/>
      </w:pPr>
      <w:r>
        <w:t>2. Jezik izvođenja nastave</w:t>
      </w:r>
    </w:p>
    <w:p>
      <w:pPr>
        <w:spacing w:after="80"/>
      </w:pPr>
      <w:r>
        <w:t>Redovni studijski programi i predmeti Melius Academy izvode se na srpskom jeziku. Engleska verzija Course Catalogue-a služi za transparentnost, planiranje mobilnosti i akademsko priznavanje. Za dolazne Erasmus+ studente moguće je, uz prethodni dogovor sa Erasmus+/međunarodnim koordinatorom, nadležnim odsekom i predmetnim nastavnikom, organizovati podršku na engleskom jeziku, uključujući pojašnjenja, prevod odabranih nastavnih materijala ili jezičku/prevodilačku podršku za pojedine aktivnosti kada je to akademski i organizaciono izvodljivo. Takva podrška nije automatska za svaki predmet i treba da bude dogovorena pre početka mobilnosti, poželjno pre konačnog odobravanja Learning Agreement-a.</w:t>
      </w:r>
    </w:p>
    <w:p>
      <w:pPr>
        <w:pStyle w:val="Heading1"/>
        <w:spacing w:after="80"/>
      </w:pPr>
      <w:r>
        <w:t>3. Nominacija i prijava</w:t>
      </w:r>
    </w:p>
    <w:p>
      <w:pPr>
        <w:pStyle w:val="Heading2"/>
        <w:spacing w:after="80"/>
      </w:pPr>
      <w:r>
        <w:t>Postupak</w:t>
      </w:r>
    </w:p>
    <w:p>
      <w:pPr>
        <w:spacing w:after="80"/>
      </w:pPr>
      <w:r>
        <w:rPr>
          <w:b/>
        </w:rPr>
        <w:t xml:space="preserve">Korak 1. </w:t>
      </w:r>
      <w:r>
        <w:t>Matična ustanova dostavlja zvaničnu nominaciju.</w:t>
      </w:r>
    </w:p>
    <w:p>
      <w:pPr>
        <w:spacing w:after="80"/>
      </w:pPr>
      <w:r>
        <w:rPr>
          <w:b/>
        </w:rPr>
        <w:t xml:space="preserve">Korak 2. </w:t>
      </w:r>
      <w:r>
        <w:t>Melius Academy proverava partnerstvo, kvotu, oblast i tip mobilnosti.</w:t>
      </w:r>
    </w:p>
    <w:p>
      <w:pPr>
        <w:spacing w:after="80"/>
      </w:pPr>
      <w:r>
        <w:rPr>
          <w:b/>
        </w:rPr>
        <w:t xml:space="preserve">Korak 3. </w:t>
      </w:r>
      <w:r>
        <w:t>Student dobija uputstvo za prijavu, rokove, Course Catalogue i praktične informacije.</w:t>
      </w:r>
    </w:p>
    <w:p>
      <w:pPr>
        <w:spacing w:after="80"/>
      </w:pPr>
      <w:r>
        <w:rPr>
          <w:b/>
        </w:rPr>
        <w:t xml:space="preserve">Korak 4. </w:t>
      </w:r>
      <w:r>
        <w:t>Student dostavlja prijavnu dokumentaciju, Transcript of Records i predlog Learning Agreement-a.</w:t>
      </w:r>
    </w:p>
    <w:p>
      <w:pPr>
        <w:spacing w:after="80"/>
      </w:pPr>
      <w:r>
        <w:rPr>
          <w:b/>
        </w:rPr>
        <w:t xml:space="preserve">Korak 5. </w:t>
      </w:r>
      <w:r>
        <w:t>Odsek proverava akademsku izvodljivost i dostupnost predmeta ili jedinice domaćina za praksu.</w:t>
      </w:r>
    </w:p>
    <w:p>
      <w:pPr>
        <w:spacing w:after="80"/>
      </w:pPr>
      <w:r>
        <w:rPr>
          <w:b/>
        </w:rPr>
        <w:t xml:space="preserve">Korak 6. </w:t>
      </w:r>
      <w:r>
        <w:t>Po usaglašavanju, Learning Agreement odobravaju sve strane i Melius Academy izdaje potvrdu o prihvatanju (acceptance) kada je potreban.</w:t>
      </w:r>
    </w:p>
    <w:p>
      <w:pPr>
        <w:pStyle w:val="Heading1"/>
        <w:spacing w:after="80"/>
      </w:pPr>
      <w:r>
        <w:t>4. Dolazak i registracija</w:t>
      </w:r>
    </w:p>
    <w:p>
      <w:pPr>
        <w:pStyle w:val="ListBullet"/>
        <w:spacing w:after="80"/>
      </w:pPr>
      <w:r>
        <w:t>provera identiteta i osnovnih dokumenata</w:t>
      </w:r>
    </w:p>
    <w:p>
      <w:pPr>
        <w:pStyle w:val="ListBullet"/>
        <w:spacing w:after="80"/>
      </w:pPr>
      <w:r>
        <w:t>evidentiranje datuma dolaska</w:t>
      </w:r>
    </w:p>
    <w:p>
      <w:pPr>
        <w:pStyle w:val="ListBullet"/>
        <w:spacing w:after="80"/>
      </w:pPr>
      <w:r>
        <w:t>orijentacija i kontakti</w:t>
      </w:r>
    </w:p>
    <w:p>
      <w:pPr>
        <w:pStyle w:val="ListBullet"/>
        <w:spacing w:after="80"/>
      </w:pPr>
      <w:r>
        <w:t>raspored i informacije o nastavi/praksi</w:t>
      </w:r>
    </w:p>
    <w:p>
      <w:pPr>
        <w:pStyle w:val="ListBullet"/>
        <w:spacing w:after="80"/>
      </w:pPr>
      <w:r>
        <w:t>bezbednost, osiguranje i postupak u hitnim situacijama</w:t>
      </w:r>
    </w:p>
    <w:p>
      <w:pPr>
        <w:pStyle w:val="Heading1"/>
        <w:spacing w:after="80"/>
      </w:pPr>
      <w:r>
        <w:t>5. Tokom mobilnosti</w:t>
      </w:r>
    </w:p>
    <w:p>
      <w:pPr>
        <w:spacing w:after="80"/>
      </w:pPr>
      <w:r>
        <w:t>Student pohađa dogovorene aktivnosti, poštuje akademska pravila i bez odlaganja prijavljuje svaku okolnost koja zahteva promenu Learning Agreement-a. Promene važe tek nakon odobrenja svih potrebnih strana.</w:t>
      </w:r>
    </w:p>
    <w:p>
      <w:pPr>
        <w:pStyle w:val="Heading1"/>
        <w:spacing w:after="80"/>
      </w:pPr>
      <w:r>
        <w:t>6. Završetak mobilnosti</w:t>
      </w:r>
    </w:p>
    <w:p>
      <w:pPr>
        <w:pStyle w:val="ListBullet"/>
        <w:spacing w:after="80"/>
      </w:pPr>
      <w:r>
        <w:t>Transcript of Records za studiranje/BIP</w:t>
      </w:r>
    </w:p>
    <w:p>
      <w:pPr>
        <w:pStyle w:val="ListBullet"/>
        <w:spacing w:after="80"/>
      </w:pPr>
      <w:r>
        <w:t>Traineeship Certificate za praksu</w:t>
      </w:r>
    </w:p>
    <w:p>
      <w:pPr>
        <w:pStyle w:val="ListBullet"/>
        <w:spacing w:after="80"/>
      </w:pPr>
      <w:r>
        <w:t>Confirmation of Stay kada je potreban</w:t>
      </w:r>
    </w:p>
    <w:p>
      <w:pPr>
        <w:pStyle w:val="ListBullet"/>
        <w:spacing w:after="80"/>
      </w:pPr>
      <w:r>
        <w:t>završna evaluacija i druga dokumentacija prema projektu</w:t>
      </w:r>
    </w:p>
    <w:p>
      <w:pPr>
        <w:pStyle w:val="Heading1"/>
        <w:spacing w:after="80"/>
      </w:pPr>
      <w:r>
        <w:t>7. Praktične napomene</w:t>
      </w:r>
    </w:p>
    <w:p>
      <w:pPr>
        <w:spacing w:after="80"/>
      </w:pPr>
      <w:r>
        <w:t>Student sam proverava uslove ulaska, vize i boravka koji zavise od državljanstva i dužine mobilnosti. Melius Academy izdaje institucionalna dokumenta iz svoje nadležnosti i pruža informacije, ali ne donosi odluke u ime državnih organa.</w:t>
      </w:r>
    </w:p>
    <w:p>
      <w:pPr>
        <w:pStyle w:val="Heading1"/>
        <w:spacing w:after="80"/>
      </w:pPr>
      <w:r>
        <w:t>8. Obrasci koji se koriste</w:t>
      </w:r>
    </w:p>
    <w:p>
      <w:pPr>
        <w:pStyle w:val="ListBullet"/>
        <w:spacing w:after="80"/>
      </w:pPr>
      <w:r>
        <w:t>OB-ER-01 prijava</w:t>
      </w:r>
    </w:p>
    <w:p>
      <w:pPr>
        <w:pStyle w:val="ListBullet"/>
        <w:spacing w:after="80"/>
      </w:pPr>
      <w:r>
        <w:t>OB-ER-06 izjava o zelenom putovanju (green travel) kada je relevantna</w:t>
      </w:r>
    </w:p>
    <w:p>
      <w:pPr>
        <w:pStyle w:val="ListBullet"/>
        <w:spacing w:after="80"/>
      </w:pPr>
      <w:r>
        <w:t>OB-ER-07 potvrda o učešću/boravku</w:t>
      </w:r>
    </w:p>
    <w:p>
      <w:pPr>
        <w:pStyle w:val="ListBullet"/>
        <w:spacing w:after="80"/>
      </w:pPr>
      <w:r>
        <w:t>OB-ER-08 potvrda o ECTS/ESPB</w:t>
      </w:r>
    </w:p>
    <w:p>
      <w:pPr>
        <w:pStyle w:val="ListBullet"/>
        <w:spacing w:after="80"/>
      </w:pPr>
      <w:r>
        <w:t>OB-ER-09 potvrda o praksi</w:t>
      </w:r>
    </w:p>
    <w:p>
      <w:pPr>
        <w:pStyle w:val="ListBullet"/>
        <w:spacing w:after="80"/>
      </w:pPr>
      <w:r>
        <w:t>OB-ER-10 BIP potvrda</w:t>
      </w:r>
    </w:p>
    <w:p>
      <w:pPr>
        <w:spacing w:after="80"/>
      </w:pPr>
      <w:r>
        <w:br w:type="page"/>
      </w:r>
    </w:p>
    <w:p>
      <w:pPr>
        <w:spacing w:after="80"/>
      </w:pPr>
      <w:r>
        <w:t>Ovaj dokument se primenjuje zajedno sa važećim Erasmus+ Programme Guide 2026, ECHE principima, odgovarajućim Learning Agreement/Mobility Agreement obrascima, Grant Agreement-om konkretnog projekta i pravilima nadležne Nacionalne agencije. Ako se programsko pravilo promeni, primenjuje se važeće pravilo za godinu poziva/projekta.</w:t>
      </w:r>
    </w:p>
    <w:p>
      <w:pPr>
        <w:pStyle w:val="Heading1"/>
        <w:spacing w:after="80"/>
      </w:pPr>
      <w:r>
        <w:t>Programski osnov i važenje pravila</w:t>
      </w:r>
    </w:p>
    <w:p>
      <w:pPr/>
      <w:r>
        <w:t>Institucionalni kontinuitet Melius Academy potiče od Akademije za poslovnu ekonomiju u Čačku. Ustanova je poslovala pod tim nazivom i imala dozvolu za rad još od 2009. godine. Tokom 2026. sprovedena je promena sedišta i naziva: u maju 2026. javno je najavljena promena sedišta iz Čačka u Beograd i novi naziv „Melius Academy“, u julu 2026. objavljeno je rešenje o promeni naziva i sedišta, a zatim i nova dozvola za rad Ministarstva prosvete za Visoku školu akademskih studija „Melius Academy“ sa sedištem u Beogradu. Ova promena predstavlja nastavak rada iste visokoškolske ustanove pod novim identitetom i na novom sedištu, a ne osnivanje potpuno nove ustanove.</w:t>
      </w:r>
    </w:p>
    <w:p>
      <w:pPr/>
      <w:r>
        <w:t>Visoka škola akademskih studija „Melius Academy“ je visokoškolska ustanova akademskih studija sa sedištem u Beogradu, Trešnjin cvet 11. U Erasmus+ dokumentaciji ustanova koristi naziv Melius Academy. Redovna nastava se izvodi na srpskom jeziku. Za dolazne Erasmus+ studente moguće je, uz prethodni dogovor sa Erasmus+/međunarodnim koordinatorom, nadležnim nastavnikom i odgovarajućom organizacionom jedinicom, organizovati podršku na engleskom jeziku, uključujući pojašnjenja, odabrane materijale na engleskom ili prevodilačku/jezičku podršku kada je to akademski i organizaciono izvodljivo. Takva podrška nije automatski garantovana za svaki predmet i treba da bude dogovorena pre konačnog odobravanja Learning Agreement-a.</w:t>
      </w:r>
    </w:p>
    <w:p>
      <w:pPr>
        <w:pStyle w:val="Heading1"/>
      </w:pPr>
      <w:r>
        <w:t>Institucionalni profil i kontinuitet</w:t>
      </w:r>
    </w:p>
    <w:p>
      <w:pPr>
        <w:spacing w:after="80"/>
        <w:jc w:val="center"/>
      </w:pPr>
      <w:r>
        <w:rPr>
          <w:b/>
          <w:color w:val="B4B4B4"/>
          <w:sz w:val="60"/>
        </w:rPr>
        <w:t>PRIMER / EXAMPLE</w:t>
      </w:r>
    </w:p>
    <w:p>
      <w:pPr>
        <w:spacing w:after="80"/>
        <w:jc w:val="center"/>
      </w:pPr>
      <w:r>
        <w:rPr>
          <w:b/>
          <w:color w:val="B40000"/>
          <w:sz w:val="26"/>
        </w:rPr>
        <w:t>OBRISATI CELU OVU STRANICU PRE ZVANIČNE UPOTREBE</w:t>
      </w:r>
    </w:p>
    <w:p>
      <w:pPr>
        <w:pStyle w:val="Heading2"/>
        <w:spacing w:after="80"/>
      </w:pPr>
      <w:r>
        <w:t>Primer incoming slučaja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Polje</w:t>
            </w:r>
          </w:p>
        </w:tc>
        <w:tc>
          <w:tcPr>
            <w:tcW w:type="dxa" w:w="5083"/>
            <w:shd w:fill="E8F0F5"/>
          </w:tcPr>
          <w:p>
            <w:r>
              <w:rPr>
                <w:b/>
                <w:sz w:val="18"/>
              </w:rPr>
              <w:t>Popunjen primer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Student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Laura Rossi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Matična ustanova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Partner University, Italy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Mobilnost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Studies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Jezik nastave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Srpski – student unapred obavešten</w:t>
            </w:r>
          </w:p>
        </w:tc>
      </w:tr>
      <w:tr>
        <w:tc>
          <w:tcPr>
            <w:tcW w:type="dxa" w:w="5083"/>
            <w:vAlign w:val="center"/>
          </w:tcPr>
          <w:p>
            <w:r>
              <w:rPr>
                <w:sz w:val="18"/>
              </w:rPr>
              <w:t>Završetak</w:t>
            </w:r>
          </w:p>
        </w:tc>
        <w:tc>
          <w:tcPr>
            <w:tcW w:type="dxa" w:w="5083"/>
            <w:vAlign w:val="center"/>
          </w:tcPr>
          <w:p>
            <w:r>
              <w:rPr>
                <w:sz w:val="18"/>
              </w:rPr>
              <w:t>Transcript of Records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B40000"/>
        </w:rPr>
        <w:t>OBRISATI CELU OVU STRANICU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">
    <w:name w:val="Article"/>
    <w:rPr>
      <w:rFonts w:ascii="Aptos" w:hAnsi="Aptos"/>
      <w:b/>
      <w:color w:val="122B38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